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4</w:t>
      </w:r>
      <w:r>
        <w:rPr>
          <w:sz w:val="24"/>
          <w:szCs w:val="24"/>
        </w:rPr>
        <w:tab/>
      </w:r>
      <w:r>
        <w:rPr>
          <w:sz w:val="24"/>
          <w:szCs w:val="24"/>
        </w:rPr>
        <w:t>R2-2</w:t>
      </w:r>
      <w:r>
        <w:rPr>
          <w:rFonts w:hint="eastAsia" w:eastAsia="宋体"/>
          <w:sz w:val="24"/>
          <w:szCs w:val="24"/>
          <w:lang w:val="en-US" w:eastAsia="zh-CN"/>
        </w:rPr>
        <w:t>312423</w:t>
      </w:r>
    </w:p>
    <w:p>
      <w:pPr>
        <w:pStyle w:val="33"/>
        <w:tabs>
          <w:tab w:val="left" w:pos="1701"/>
          <w:tab w:val="right" w:pos="9923"/>
        </w:tabs>
        <w:rPr>
          <w:sz w:val="24"/>
          <w:szCs w:val="24"/>
        </w:rPr>
      </w:pPr>
      <w:r>
        <w:rPr>
          <w:sz w:val="24"/>
          <w:szCs w:val="24"/>
        </w:rPr>
        <w:t>Chicago, USA, Nov. 13</w:t>
      </w:r>
      <w:r>
        <w:rPr>
          <w:sz w:val="24"/>
          <w:szCs w:val="24"/>
          <w:vertAlign w:val="superscript"/>
        </w:rPr>
        <w:t>th</w:t>
      </w:r>
      <w:r>
        <w:rPr>
          <w:sz w:val="24"/>
          <w:szCs w:val="24"/>
        </w:rPr>
        <w:t xml:space="preserve"> – 17</w:t>
      </w:r>
      <w:r>
        <w:rPr>
          <w:sz w:val="24"/>
          <w:szCs w:val="24"/>
          <w:vertAlign w:val="superscript"/>
        </w:rPr>
        <w:t>th</w:t>
      </w:r>
      <w:r>
        <w:rPr>
          <w:sz w:val="24"/>
          <w:szCs w:val="24"/>
        </w:rPr>
        <w:t>, 2023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mobility enhancement for</w:t>
      </w:r>
      <w:r>
        <w:rPr>
          <w:rFonts w:hint="default" w:ascii="Arial" w:hAnsi="Arial" w:cs="Arial"/>
          <w:b/>
          <w:bCs w:val="0"/>
          <w:sz w:val="24"/>
          <w:szCs w:val="24"/>
          <w:lang w:val="en-US" w:eastAsia="zh-CN"/>
        </w:rPr>
        <w:t xml:space="preserve"> </w:t>
      </w:r>
      <w:r>
        <w:rPr>
          <w:rFonts w:hint="default" w:ascii="Arial" w:hAnsi="Arial" w:cs="Arial"/>
          <w:b/>
          <w:bCs w:val="0"/>
          <w:sz w:val="24"/>
          <w:szCs w:val="24"/>
        </w:rPr>
        <w:t>Idle/Inactive mode</w:t>
      </w:r>
      <w:r>
        <w:rPr>
          <w:rFonts w:hint="default" w:ascii="Arial" w:hAnsi="Arial" w:cs="Arial"/>
          <w:b/>
          <w:bCs w:val="0"/>
          <w:sz w:val="24"/>
          <w:szCs w:val="24"/>
          <w:lang w:val="en-US" w:eastAsia="zh-CN"/>
        </w:rPr>
        <w:t xml:space="preserve"> UE</w:t>
      </w:r>
    </w:p>
    <w:p>
      <w:pPr>
        <w:tabs>
          <w:tab w:val="left" w:pos="1985"/>
        </w:tabs>
        <w:jc w:val="both"/>
        <w:rPr>
          <w:rStyle w:val="160"/>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2.4</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spacing w:before="156" w:beforeLines="50"/>
        <w:jc w:val="both"/>
        <w:rPr>
          <w:lang w:val="en-US" w:eastAsia="zh-CN"/>
        </w:rPr>
      </w:pPr>
      <w:r>
        <w:rPr>
          <w:rFonts w:hint="eastAsia"/>
          <w:lang w:val="en-US" w:eastAsia="zh-CN"/>
        </w:rPr>
        <w:t>During RAN2#1</w:t>
      </w:r>
      <w:r>
        <w:rPr>
          <w:lang w:val="en-US" w:eastAsia="zh-CN"/>
        </w:rPr>
        <w:t>2</w:t>
      </w:r>
      <w:r>
        <w:rPr>
          <w:rFonts w:hint="eastAsia"/>
          <w:lang w:val="en-US" w:eastAsia="zh-CN"/>
        </w:rPr>
        <w:t xml:space="preserve">3 meeting, the mobility enhancements for </w:t>
      </w:r>
      <w:r>
        <w:rPr>
          <w:rFonts w:hint="eastAsia" w:ascii="Times New Roman" w:hAnsi="Times New Roman" w:cs="Times New Roman"/>
          <w:b w:val="0"/>
          <w:bCs w:val="0"/>
          <w:sz w:val="20"/>
          <w:szCs w:val="20"/>
          <w:lang w:val="en-US" w:eastAsia="zh-CN"/>
        </w:rPr>
        <w:t>Idle/Inactive mode UE</w:t>
      </w:r>
      <w:r>
        <w:rPr>
          <w:rFonts w:hint="eastAsia"/>
          <w:lang w:val="en-US" w:eastAsia="zh-CN"/>
        </w:rPr>
        <w:t xml:space="preserve"> was discussed and the following agreement was reached: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Borders>
              <w:top w:val="single" w:color="auto" w:sz="4" w:space="0"/>
              <w:left w:val="single" w:color="auto" w:sz="4" w:space="0"/>
              <w:bottom w:val="single" w:color="auto" w:sz="4" w:space="0"/>
              <w:right w:val="single" w:color="auto" w:sz="4" w:space="0"/>
            </w:tcBorders>
          </w:tcPr>
          <w:p>
            <w:pPr>
              <w:rPr>
                <w:rFonts w:hint="default" w:ascii="Arial" w:hAnsi="Arial" w:cs="Arial"/>
                <w:sz w:val="20"/>
                <w:szCs w:val="20"/>
                <w:lang w:eastAsia="ja-JP"/>
              </w:rPr>
            </w:pPr>
            <w:r>
              <w:rPr>
                <w:rFonts w:hint="default" w:ascii="Arial" w:hAnsi="Arial" w:cs="Arial"/>
                <w:sz w:val="20"/>
                <w:szCs w:val="20"/>
                <w:lang w:eastAsia="ja-JP"/>
              </w:rPr>
              <w:t>mIAB PCI list is optional present (i.e., not mandatory) for indicated mIAB frequency (confirming that mIAB PCI list is introduced)</w:t>
            </w:r>
          </w:p>
          <w:p>
            <w:pPr>
              <w:rPr>
                <w:rFonts w:hint="default" w:ascii="Arial" w:hAnsi="Arial" w:cs="Arial"/>
                <w:sz w:val="20"/>
                <w:szCs w:val="20"/>
                <w:lang w:eastAsia="ja-JP"/>
              </w:rPr>
            </w:pPr>
            <w:r>
              <w:rPr>
                <w:rFonts w:hint="eastAsia" w:ascii="Arial" w:hAnsi="Arial" w:cs="Arial"/>
                <w:sz w:val="20"/>
                <w:szCs w:val="20"/>
                <w:lang w:val="en-US" w:eastAsia="zh-CN"/>
              </w:rPr>
              <w:t>I</w:t>
            </w:r>
            <w:r>
              <w:rPr>
                <w:rFonts w:hint="default" w:ascii="Arial" w:hAnsi="Arial" w:cs="Arial"/>
                <w:sz w:val="20"/>
                <w:szCs w:val="20"/>
                <w:lang w:eastAsia="ja-JP"/>
              </w:rPr>
              <w:t>t is left to UE implementation to determine an actual prioritized frequency among frequencies that can be prioritized for mIAB cell/HSDN/MBS/SL/V2X?</w:t>
            </w:r>
          </w:p>
          <w:p>
            <w:pPr>
              <w:rPr>
                <w:rFonts w:hint="default" w:ascii="Arial" w:hAnsi="Arial" w:cs="Arial"/>
                <w:sz w:val="20"/>
                <w:szCs w:val="20"/>
                <w:lang w:eastAsia="ja-JP"/>
              </w:rPr>
            </w:pPr>
            <w:r>
              <w:rPr>
                <w:rFonts w:hint="default" w:ascii="Arial" w:hAnsi="Arial" w:cs="Arial"/>
                <w:sz w:val="20"/>
                <w:szCs w:val="20"/>
                <w:lang w:eastAsia="ja-JP"/>
              </w:rPr>
              <w:t xml:space="preserve">Existing Note 0c in TS 38.304 is applicable for the prioritization between mIAB cell/HSDN/MBS/SL/V2X. So, no or marginal additional specification work is needed. </w:t>
            </w:r>
          </w:p>
          <w:p>
            <w:pPr>
              <w:rPr>
                <w:rFonts w:hint="default" w:ascii="Arial" w:hAnsi="Arial" w:cs="Arial"/>
                <w:sz w:val="20"/>
                <w:szCs w:val="20"/>
                <w:lang w:eastAsia="ja-JP"/>
              </w:rPr>
            </w:pPr>
            <w:r>
              <w:rPr>
                <w:rFonts w:hint="default" w:ascii="Arial" w:hAnsi="Arial" w:cs="Arial"/>
                <w:sz w:val="20"/>
                <w:szCs w:val="20"/>
                <w:lang w:eastAsia="ja-JP"/>
              </w:rPr>
              <w:t xml:space="preserve">FFS: </w:t>
            </w:r>
          </w:p>
          <w:p>
            <w:pPr>
              <w:ind w:firstLine="420" w:firstLineChars="0"/>
              <w:rPr>
                <w:rFonts w:hint="default" w:ascii="Arial" w:hAnsi="Arial" w:cs="Arial"/>
                <w:sz w:val="20"/>
                <w:szCs w:val="20"/>
                <w:lang w:eastAsia="ja-JP"/>
              </w:rPr>
            </w:pPr>
            <w:r>
              <w:rPr>
                <w:rFonts w:hint="default" w:ascii="Arial" w:hAnsi="Arial" w:cs="Arial"/>
                <w:sz w:val="20"/>
                <w:szCs w:val="20"/>
                <w:lang w:eastAsia="ja-JP"/>
              </w:rPr>
              <w:t xml:space="preserve">P2: To discuss further if mIAB PCI list is not necessarily exclusive, i.e., the PCI list may or may not include PCIs of non-mIAB cell. </w:t>
            </w:r>
          </w:p>
          <w:p>
            <w:pPr>
              <w:ind w:firstLine="420" w:firstLineChars="0"/>
              <w:rPr>
                <w:rFonts w:ascii="CG Times (WN)" w:hAnsi="CG Times (WN)" w:eastAsia="Batang"/>
              </w:rPr>
            </w:pPr>
            <w:r>
              <w:rPr>
                <w:rFonts w:hint="default" w:ascii="Arial" w:hAnsi="Arial" w:cs="Arial"/>
                <w:sz w:val="20"/>
                <w:szCs w:val="20"/>
                <w:lang w:eastAsia="ja-JP"/>
              </w:rPr>
              <w:t>P3: To discuss further if mIAB PCI list is not necessarily complete, i.e., the PCI list may or may not include all possible mIAB PCIs.</w:t>
            </w:r>
          </w:p>
        </w:tc>
      </w:tr>
    </w:tbl>
    <w:p>
      <w:pPr>
        <w:spacing w:before="156" w:beforeLines="50"/>
        <w:jc w:val="both"/>
        <w:rPr>
          <w:lang w:eastAsia="zh-CN"/>
        </w:rPr>
      </w:pPr>
      <w:r>
        <w:rPr>
          <w:rFonts w:hint="eastAsia"/>
          <w:lang w:val="en-US" w:eastAsia="zh-CN"/>
        </w:rPr>
        <w:t xml:space="preserve">In addition, during the post-meeting email discussion of 38.304 running CR, it is debated whether the </w:t>
      </w:r>
      <w:r>
        <w:rPr>
          <w:highlight w:val="none"/>
        </w:rPr>
        <w:t>"supporting mobile-IAB"</w:t>
      </w:r>
      <w:r>
        <w:t xml:space="preserve"> indication</w:t>
      </w:r>
      <w:r>
        <w:rPr>
          <w:rFonts w:hint="eastAsia"/>
          <w:lang w:val="en-US" w:eastAsia="zh-CN"/>
        </w:rPr>
        <w:t xml:space="preserve"> can be used for cell barring purpose. In this paper, we discuss these remaining issues for RRC idle/inactive UE and present our point of view. </w:t>
      </w:r>
      <w:r>
        <w:rPr>
          <w:rFonts w:hint="eastAsia"/>
        </w:rPr>
        <w:t xml:space="preserve"> </w:t>
      </w:r>
    </w:p>
    <w:p>
      <w:pPr>
        <w:pStyle w:val="2"/>
        <w:jc w:val="both"/>
        <w:rPr>
          <w:rFonts w:hint="eastAsia" w:eastAsia="宋体"/>
          <w:lang w:eastAsia="zh-CN"/>
        </w:rPr>
      </w:pPr>
      <w:r>
        <w:rPr>
          <w:rFonts w:hint="eastAsia" w:eastAsia="宋体"/>
          <w:lang w:eastAsia="zh-CN"/>
        </w:rPr>
        <w:t>Discussion</w:t>
      </w:r>
    </w:p>
    <w:p>
      <w:pPr>
        <w:pStyle w:val="3"/>
        <w:bidi w:val="0"/>
        <w:rPr>
          <w:lang w:eastAsia="zh-CN"/>
        </w:rPr>
      </w:pPr>
      <w:r>
        <w:rPr>
          <w:rFonts w:hint="default"/>
          <w:lang w:val="en-US" w:eastAsia="zh-CN"/>
        </w:rPr>
        <w:t>“</w:t>
      </w:r>
      <w:r>
        <w:rPr>
          <w:rFonts w:hint="eastAsia"/>
          <w:lang w:val="en-US" w:eastAsia="zh-CN"/>
        </w:rPr>
        <w:t>Mobile-IAB supported</w:t>
      </w:r>
      <w:r>
        <w:rPr>
          <w:rFonts w:hint="default"/>
          <w:lang w:val="en-US" w:eastAsia="zh-CN"/>
        </w:rPr>
        <w:t>”</w:t>
      </w:r>
      <w:r>
        <w:rPr>
          <w:rFonts w:hint="eastAsia"/>
          <w:lang w:val="en-US" w:eastAsia="zh-CN"/>
        </w:rPr>
        <w:t xml:space="preserve"> indication</w:t>
      </w:r>
    </w:p>
    <w:p>
      <w:pPr>
        <w:numPr>
          <w:ilvl w:val="-1"/>
          <w:numId w:val="0"/>
        </w:numPr>
        <w:ind w:left="0" w:firstLine="0"/>
        <w:jc w:val="both"/>
        <w:rPr>
          <w:rFonts w:hint="eastAsia"/>
          <w:lang w:val="en-US" w:eastAsia="zh-CN"/>
        </w:rPr>
      </w:pPr>
      <w:r>
        <w:rPr>
          <w:rFonts w:hint="eastAsia"/>
          <w:lang w:val="en-US" w:eastAsia="zh-CN"/>
        </w:rPr>
        <w:t xml:space="preserve">As we know, for Rel-16/17 IAB capable parent cell, it may broadcast the </w:t>
      </w:r>
      <w:r>
        <w:rPr>
          <w:rFonts w:hint="default"/>
          <w:lang w:val="en-US" w:eastAsia="zh-CN"/>
        </w:rPr>
        <w:t>“</w:t>
      </w:r>
      <w:r>
        <w:rPr>
          <w:rFonts w:hint="eastAsia"/>
          <w:lang w:val="en-US" w:eastAsia="zh-CN"/>
        </w:rPr>
        <w:t>IAB supported</w:t>
      </w:r>
      <w:r>
        <w:rPr>
          <w:rFonts w:hint="default"/>
          <w:lang w:val="en-US" w:eastAsia="zh-CN"/>
        </w:rPr>
        <w:t>”</w:t>
      </w:r>
      <w:r>
        <w:rPr>
          <w:rFonts w:hint="eastAsia"/>
          <w:lang w:val="en-US" w:eastAsia="zh-CN"/>
        </w:rPr>
        <w:t xml:space="preserve"> indication. Here the </w:t>
      </w:r>
      <w:r>
        <w:rPr>
          <w:rFonts w:hint="default"/>
          <w:lang w:val="en-US" w:eastAsia="zh-CN"/>
        </w:rPr>
        <w:t>“</w:t>
      </w:r>
      <w:r>
        <w:rPr>
          <w:rFonts w:hint="eastAsia"/>
          <w:lang w:val="en-US" w:eastAsia="zh-CN"/>
        </w:rPr>
        <w:t>IAB supported</w:t>
      </w:r>
      <w:r>
        <w:rPr>
          <w:rFonts w:hint="default"/>
          <w:lang w:val="en-US" w:eastAsia="zh-CN"/>
        </w:rPr>
        <w:t>”</w:t>
      </w:r>
      <w:r>
        <w:rPr>
          <w:rFonts w:hint="eastAsia"/>
          <w:lang w:val="en-US" w:eastAsia="zh-CN"/>
        </w:rPr>
        <w:t xml:space="preserve"> indication can be used for the indication of IAB functionality support. In addition, this indication is also used for the access control purpose. For example, for a Rel-16/17 IAB capable parent cell, it may not broadcast the </w:t>
      </w:r>
      <w:r>
        <w:rPr>
          <w:rFonts w:hint="default"/>
          <w:lang w:val="en-US" w:eastAsia="zh-CN"/>
        </w:rPr>
        <w:t>“</w:t>
      </w:r>
      <w:r>
        <w:rPr>
          <w:rFonts w:hint="eastAsia"/>
          <w:lang w:val="en-US" w:eastAsia="zh-CN"/>
        </w:rPr>
        <w:t>IAB supported</w:t>
      </w:r>
      <w:r>
        <w:rPr>
          <w:rFonts w:hint="default"/>
          <w:lang w:val="en-US" w:eastAsia="zh-CN"/>
        </w:rPr>
        <w:t>”</w:t>
      </w:r>
      <w:r>
        <w:rPr>
          <w:rFonts w:hint="eastAsia"/>
          <w:lang w:val="en-US" w:eastAsia="zh-CN"/>
        </w:rPr>
        <w:t xml:space="preserve"> indication so as to prohibit the access of IAB nodes. </w:t>
      </w:r>
    </w:p>
    <w:p>
      <w:pPr>
        <w:numPr>
          <w:ilvl w:val="-1"/>
          <w:numId w:val="0"/>
        </w:numPr>
        <w:ind w:left="0" w:firstLine="0"/>
        <w:jc w:val="both"/>
        <w:rPr>
          <w:rFonts w:hint="default"/>
          <w:lang w:val="en-US" w:eastAsia="zh-CN"/>
        </w:rPr>
      </w:pPr>
      <w:r>
        <w:rPr>
          <w:rFonts w:hint="eastAsia"/>
          <w:lang w:val="en-US" w:eastAsia="zh-CN"/>
        </w:rPr>
        <w:t xml:space="preserve">When it comes to Rel-18 mobile IAB capable parent cell, </w:t>
      </w:r>
      <w:r>
        <w:t xml:space="preserve">RAN2 assumes </w:t>
      </w:r>
      <w:r>
        <w:rPr>
          <w:rFonts w:hint="eastAsia"/>
          <w:lang w:val="en-US" w:eastAsia="zh-CN"/>
        </w:rPr>
        <w:t xml:space="preserve">that </w:t>
      </w:r>
      <w:r>
        <w:t>"</w:t>
      </w:r>
      <w:r>
        <w:rPr>
          <w:highlight w:val="none"/>
        </w:rPr>
        <w:t>supporting mobile-IAB"</w:t>
      </w:r>
      <w:r>
        <w:t xml:space="preserve"> indication is provided by Rel-18 Mobile IAB capable parent cell</w:t>
      </w:r>
      <w:r>
        <w:rPr>
          <w:rFonts w:hint="eastAsia"/>
          <w:b w:val="0"/>
          <w:bCs/>
          <w:szCs w:val="20"/>
          <w:lang w:val="en-US" w:eastAsia="zh-CN"/>
        </w:rPr>
        <w:t xml:space="preserve">. This </w:t>
      </w:r>
      <w:r>
        <w:rPr>
          <w:b w:val="0"/>
          <w:bCs/>
          <w:szCs w:val="20"/>
        </w:rPr>
        <w:t>"mobile-IAB</w:t>
      </w:r>
      <w:r>
        <w:rPr>
          <w:rFonts w:hint="eastAsia"/>
          <w:b w:val="0"/>
          <w:bCs/>
          <w:szCs w:val="20"/>
          <w:lang w:val="en-US" w:eastAsia="zh-CN"/>
        </w:rPr>
        <w:t xml:space="preserve"> supported</w:t>
      </w:r>
      <w:r>
        <w:rPr>
          <w:b w:val="0"/>
          <w:bCs/>
          <w:szCs w:val="20"/>
        </w:rPr>
        <w:t xml:space="preserve">" </w:t>
      </w:r>
      <w:r>
        <w:rPr>
          <w:rFonts w:hint="eastAsia"/>
          <w:b w:val="0"/>
          <w:bCs/>
          <w:szCs w:val="20"/>
          <w:lang w:val="en-US" w:eastAsia="zh-CN"/>
        </w:rPr>
        <w:t xml:space="preserve">indication can be used for the mobile IAB functionality support indication. However, it is not yet discussed whether the </w:t>
      </w:r>
      <w:r>
        <w:rPr>
          <w:b w:val="0"/>
          <w:bCs/>
          <w:szCs w:val="20"/>
        </w:rPr>
        <w:t>"mobile-IAB</w:t>
      </w:r>
      <w:r>
        <w:rPr>
          <w:rFonts w:hint="eastAsia"/>
          <w:b w:val="0"/>
          <w:bCs/>
          <w:szCs w:val="20"/>
          <w:lang w:val="en-US" w:eastAsia="zh-CN"/>
        </w:rPr>
        <w:t xml:space="preserve"> supported</w:t>
      </w:r>
      <w:r>
        <w:rPr>
          <w:b w:val="0"/>
          <w:bCs/>
          <w:szCs w:val="20"/>
        </w:rPr>
        <w:t xml:space="preserve">" </w:t>
      </w:r>
      <w:r>
        <w:rPr>
          <w:rFonts w:hint="eastAsia"/>
          <w:b w:val="0"/>
          <w:bCs/>
          <w:szCs w:val="20"/>
          <w:lang w:val="en-US" w:eastAsia="zh-CN"/>
        </w:rPr>
        <w:t xml:space="preserve">indication can also be used for the access control purpose. In our opinion, the </w:t>
      </w:r>
      <w:r>
        <w:rPr>
          <w:rFonts w:hint="eastAsia"/>
          <w:lang w:val="en-US" w:eastAsia="zh-CN"/>
        </w:rPr>
        <w:t xml:space="preserve">Rel-18 mobile IAB capable parent cell may sometimes overloaded and network should be enabled with such flexibility to prohibit the access of mobile IAB node. It means that the Rel-18 mobile IAB capable parent cell may not broadcast the </w:t>
      </w:r>
      <w:r>
        <w:rPr>
          <w:rFonts w:hint="default"/>
          <w:lang w:val="en-US" w:eastAsia="zh-CN"/>
        </w:rPr>
        <w:t>“</w:t>
      </w:r>
      <w:r>
        <w:rPr>
          <w:rFonts w:hint="eastAsia"/>
          <w:lang w:val="en-US" w:eastAsia="zh-CN"/>
        </w:rPr>
        <w:t>mobile-IAB supported</w:t>
      </w:r>
      <w:r>
        <w:rPr>
          <w:rFonts w:hint="default"/>
          <w:lang w:val="en-US" w:eastAsia="zh-CN"/>
        </w:rPr>
        <w:t>”</w:t>
      </w:r>
      <w:r>
        <w:rPr>
          <w:rFonts w:hint="eastAsia"/>
          <w:lang w:val="en-US" w:eastAsia="zh-CN"/>
        </w:rPr>
        <w:t xml:space="preserve"> indication so as to prohibit the access of mobile IAB nodes.</w:t>
      </w:r>
    </w:p>
    <w:p>
      <w:pPr>
        <w:numPr>
          <w:ilvl w:val="-1"/>
          <w:numId w:val="0"/>
        </w:numPr>
        <w:ind w:left="0" w:firstLine="0"/>
        <w:jc w:val="both"/>
        <w:rPr>
          <w:rFonts w:hint="default" w:eastAsia="宋体"/>
          <w:b w:val="0"/>
          <w:bCs/>
          <w:szCs w:val="20"/>
          <w:lang w:val="en-US" w:eastAsia="zh-CN"/>
        </w:rPr>
      </w:pPr>
      <w:r>
        <w:rPr>
          <w:rFonts w:hint="eastAsia"/>
          <w:b w:val="0"/>
          <w:bCs/>
          <w:szCs w:val="20"/>
          <w:lang w:val="en-US" w:eastAsia="zh-CN"/>
        </w:rPr>
        <w:t>Considering that Rel-18 mobile IAB is actually a further enhancement of Rel-16/17 IAB</w:t>
      </w:r>
      <w:r>
        <w:rPr>
          <w:rFonts w:hint="eastAsia"/>
          <w:lang w:val="en-US" w:eastAsia="zh-CN"/>
        </w:rPr>
        <w:t xml:space="preserve">, </w:t>
      </w:r>
      <w:r>
        <w:rPr>
          <w:b w:val="0"/>
          <w:bCs/>
          <w:szCs w:val="20"/>
        </w:rPr>
        <w:t>Rel-18 Mobile IAB capable parent cell</w:t>
      </w:r>
      <w:r>
        <w:rPr>
          <w:rFonts w:hint="eastAsia"/>
          <w:b w:val="0"/>
          <w:bCs/>
          <w:szCs w:val="20"/>
          <w:lang w:val="en-US" w:eastAsia="zh-CN"/>
        </w:rPr>
        <w:t xml:space="preserve"> may also support Rel-16/17 IAB. In this case, for the </w:t>
      </w:r>
      <w:r>
        <w:rPr>
          <w:b w:val="0"/>
          <w:bCs/>
          <w:szCs w:val="20"/>
        </w:rPr>
        <w:t>Rel-18 Mobile IAB capable parent cell</w:t>
      </w:r>
      <w:r>
        <w:rPr>
          <w:rFonts w:hint="eastAsia"/>
          <w:b w:val="0"/>
          <w:bCs/>
          <w:szCs w:val="20"/>
          <w:lang w:val="en-US" w:eastAsia="zh-CN"/>
        </w:rPr>
        <w:t xml:space="preserve">, it may independently control the presence of </w:t>
      </w:r>
      <w:r>
        <w:rPr>
          <w:rFonts w:hint="default"/>
          <w:lang w:val="en-US" w:eastAsia="zh-CN"/>
        </w:rPr>
        <w:t>“</w:t>
      </w:r>
      <w:r>
        <w:rPr>
          <w:rFonts w:hint="eastAsia"/>
          <w:lang w:val="en-US" w:eastAsia="zh-CN"/>
        </w:rPr>
        <w:t>IAB supported</w:t>
      </w:r>
      <w:r>
        <w:rPr>
          <w:rFonts w:hint="default"/>
          <w:lang w:val="en-US" w:eastAsia="zh-CN"/>
        </w:rPr>
        <w:t>”</w:t>
      </w:r>
      <w:r>
        <w:rPr>
          <w:rFonts w:hint="eastAsia"/>
          <w:lang w:val="en-US" w:eastAsia="zh-CN"/>
        </w:rPr>
        <w:t xml:space="preserve"> and </w:t>
      </w:r>
      <w:r>
        <w:rPr>
          <w:b w:val="0"/>
          <w:bCs/>
          <w:szCs w:val="20"/>
        </w:rPr>
        <w:t>"mobile-IAB</w:t>
      </w:r>
      <w:r>
        <w:rPr>
          <w:rFonts w:hint="eastAsia"/>
          <w:b w:val="0"/>
          <w:bCs/>
          <w:szCs w:val="20"/>
          <w:lang w:val="en-US" w:eastAsia="zh-CN"/>
        </w:rPr>
        <w:t xml:space="preserve"> supported</w:t>
      </w:r>
      <w:r>
        <w:rPr>
          <w:b w:val="0"/>
          <w:bCs/>
          <w:szCs w:val="20"/>
        </w:rPr>
        <w:t>" indication</w:t>
      </w:r>
      <w:r>
        <w:rPr>
          <w:rFonts w:hint="eastAsia"/>
          <w:b w:val="0"/>
          <w:bCs/>
          <w:szCs w:val="20"/>
          <w:lang w:val="en-US" w:eastAsia="zh-CN"/>
        </w:rPr>
        <w:t xml:space="preserve">. </w:t>
      </w:r>
      <w:r>
        <w:rPr>
          <w:rFonts w:hint="eastAsia"/>
          <w:lang w:val="en-US" w:eastAsia="zh-CN"/>
        </w:rPr>
        <w:t xml:space="preserve">On the other hand, RAN2 agreed that </w:t>
      </w:r>
      <w:r>
        <w:rPr>
          <w:rFonts w:hint="eastAsia"/>
          <w:b w:val="0"/>
          <w:bCs/>
          <w:szCs w:val="20"/>
          <w:lang w:val="en-US" w:eastAsia="zh-CN"/>
        </w:rPr>
        <w:t>a</w:t>
      </w:r>
      <w:r>
        <w:rPr>
          <w:b w:val="0"/>
          <w:bCs/>
          <w:szCs w:val="20"/>
        </w:rPr>
        <w:t xml:space="preserve"> mobile IAB node may camp on</w:t>
      </w:r>
      <w:r>
        <w:rPr>
          <w:rFonts w:hint="eastAsia"/>
          <w:b w:val="0"/>
          <w:bCs/>
          <w:szCs w:val="20"/>
          <w:lang w:val="en-US" w:eastAsia="zh-CN"/>
        </w:rPr>
        <w:t xml:space="preserve"> and connect to</w:t>
      </w:r>
      <w:r>
        <w:rPr>
          <w:b w:val="0"/>
          <w:bCs/>
          <w:szCs w:val="20"/>
        </w:rPr>
        <w:t xml:space="preserve"> Rel-18 Mobile IAB capable parent cell</w:t>
      </w:r>
      <w:r>
        <w:rPr>
          <w:rFonts w:hint="eastAsia"/>
          <w:b w:val="0"/>
          <w:bCs/>
          <w:szCs w:val="20"/>
          <w:lang w:val="en-US" w:eastAsia="zh-CN"/>
        </w:rPr>
        <w:t xml:space="preserve"> or</w:t>
      </w:r>
      <w:r>
        <w:rPr>
          <w:b w:val="0"/>
          <w:bCs/>
          <w:szCs w:val="20"/>
        </w:rPr>
        <w:t xml:space="preserve"> legacy Rel-16/Rel-17 IAB capable cell</w:t>
      </w:r>
      <w:r>
        <w:rPr>
          <w:rFonts w:hint="eastAsia"/>
          <w:b w:val="0"/>
          <w:bCs/>
          <w:szCs w:val="20"/>
          <w:lang w:val="en-US" w:eastAsia="zh-CN"/>
        </w:rPr>
        <w:t xml:space="preserve">. </w:t>
      </w:r>
      <w:r>
        <w:rPr>
          <w:rFonts w:hint="eastAsia"/>
          <w:lang w:val="en-US" w:eastAsia="zh-CN"/>
        </w:rPr>
        <w:t>Based on the above analysis, t</w:t>
      </w:r>
      <w:r>
        <w:rPr>
          <w:rFonts w:hint="eastAsia"/>
          <w:b w:val="0"/>
          <w:bCs/>
          <w:szCs w:val="20"/>
          <w:lang w:val="en-US" w:eastAsia="zh-CN"/>
        </w:rPr>
        <w:t>he potential combinations of indications broadcast by Rel-18 mobile IAB capable parent cell and their implications to accessing node are listed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49"/>
        <w:gridCol w:w="3104"/>
        <w:gridCol w:w="2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949" w:type="dxa"/>
            <mc:AlternateContent>
              <mc:Choice Requires="wpsCustomData">
                <wpsCustomData:diagonals>
                  <wpsCustomData:diagonal from="10000" to="30000">
                    <wpsCustomData:border w:val="single" w:color="auto" w:sz="4" w:space="0"/>
                  </wpsCustomData:diagonal>
                </wpsCustomData:diagonals>
              </mc:Choice>
            </mc:AlternateContent>
          </w:tcPr>
          <w:p>
            <w:pPr>
              <w:snapToGrid w:val="0"/>
              <w:spacing w:line="240" w:lineRule="auto"/>
              <w:jc w:val="both"/>
              <w:rPr>
                <w:rFonts w:hint="eastAsia"/>
                <w:b w:val="0"/>
                <w:bCs/>
                <w:sz w:val="18"/>
                <w:szCs w:val="18"/>
                <w:vertAlign w:val="baseline"/>
                <w:lang w:val="en-US" w:eastAsia="zh-CN"/>
              </w:rPr>
            </w:pPr>
            <w:r>
              <w:rPr>
                <w:rFonts w:hint="eastAsia"/>
                <w:b w:val="0"/>
                <w:bCs/>
                <w:sz w:val="18"/>
                <w:szCs w:val="18"/>
                <w:vertAlign w:val="baseline"/>
                <w:lang w:val="en-US" w:eastAsia="zh-CN"/>
              </w:rPr>
              <w:t xml:space="preserve">Presence of </w:t>
            </w:r>
            <w:r>
              <w:rPr>
                <w:rFonts w:hint="default"/>
                <w:b w:val="0"/>
                <w:bCs/>
                <w:sz w:val="18"/>
                <w:szCs w:val="18"/>
                <w:vertAlign w:val="baseline"/>
                <w:lang w:val="en-US" w:eastAsia="zh-CN"/>
              </w:rPr>
              <w:t>“</w:t>
            </w:r>
            <w:r>
              <w:rPr>
                <w:rFonts w:hint="eastAsia"/>
                <w:b w:val="0"/>
                <w:bCs/>
                <w:sz w:val="18"/>
                <w:szCs w:val="18"/>
                <w:vertAlign w:val="baseline"/>
                <w:lang w:val="en-US" w:eastAsia="zh-CN"/>
              </w:rPr>
              <w:t>Mobile IAB supported</w:t>
            </w:r>
            <w:r>
              <w:rPr>
                <w:rFonts w:hint="default"/>
                <w:b w:val="0"/>
                <w:bCs/>
                <w:sz w:val="18"/>
                <w:szCs w:val="18"/>
                <w:vertAlign w:val="baseline"/>
                <w:lang w:val="en-US" w:eastAsia="zh-CN"/>
              </w:rPr>
              <w:t>”</w:t>
            </w:r>
            <w:r>
              <w:rPr>
                <w:rFonts w:hint="eastAsia"/>
                <w:b w:val="0"/>
                <w:bCs/>
                <w:sz w:val="18"/>
                <w:szCs w:val="18"/>
                <w:vertAlign w:val="baseline"/>
                <w:lang w:val="en-US" w:eastAsia="zh-CN"/>
              </w:rPr>
              <w:t xml:space="preserve"> </w:t>
            </w:r>
          </w:p>
          <w:p>
            <w:pPr>
              <w:snapToGrid w:val="0"/>
              <w:spacing w:line="240" w:lineRule="auto"/>
              <w:jc w:val="both"/>
              <mc:AlternateContent>
                <mc:Choice Requires="wpsCustomData">
                  <wpsCustomData:diagonalParaType/>
                </mc:Choice>
              </mc:AlternateContent>
              <w:rPr>
                <w:rFonts w:hint="default"/>
                <w:b w:val="0"/>
                <w:bCs/>
                <w:sz w:val="18"/>
                <w:szCs w:val="18"/>
                <w:vertAlign w:val="baseline"/>
                <w:lang w:val="en-US" w:eastAsia="zh-CN"/>
              </w:rPr>
            </w:pPr>
            <w:r>
              <w:rPr>
                <w:rFonts w:hint="eastAsia"/>
                <w:b w:val="0"/>
                <w:bCs/>
                <w:sz w:val="18"/>
                <w:szCs w:val="18"/>
                <w:vertAlign w:val="baseline"/>
                <w:lang w:val="en-US" w:eastAsia="zh-CN"/>
              </w:rPr>
              <w:t>indication</w:t>
            </w:r>
          </w:p>
          <w:p>
            <w:pPr>
              <w:jc w:val="both"/>
              <w:rPr>
                <w:rFonts w:hint="default"/>
                <w:b w:val="0"/>
                <w:bCs/>
                <w:sz w:val="18"/>
                <w:szCs w:val="18"/>
                <w:vertAlign w:val="baseline"/>
                <w:lang w:val="en-US" w:eastAsia="zh-CN"/>
              </w:rPr>
            </w:pPr>
            <w:r>
              <w:rPr>
                <w:rFonts w:hint="eastAsia"/>
                <w:b w:val="0"/>
                <w:bCs/>
                <w:sz w:val="18"/>
                <w:szCs w:val="18"/>
                <w:vertAlign w:val="baseline"/>
                <w:lang w:val="en-US" w:eastAsia="zh-CN"/>
              </w:rPr>
              <w:t xml:space="preserve">Presence of </w:t>
            </w:r>
            <w:r>
              <w:rPr>
                <w:rFonts w:hint="default"/>
                <w:b w:val="0"/>
                <w:bCs/>
                <w:sz w:val="18"/>
                <w:szCs w:val="18"/>
                <w:vertAlign w:val="baseline"/>
                <w:lang w:val="en-US" w:eastAsia="zh-CN"/>
              </w:rPr>
              <w:t>“</w:t>
            </w:r>
            <w:r>
              <w:rPr>
                <w:rFonts w:hint="eastAsia"/>
                <w:b w:val="0"/>
                <w:bCs/>
                <w:sz w:val="18"/>
                <w:szCs w:val="18"/>
                <w:vertAlign w:val="baseline"/>
                <w:lang w:val="en-US" w:eastAsia="zh-CN"/>
              </w:rPr>
              <w:t>IAB supported</w:t>
            </w:r>
            <w:r>
              <w:rPr>
                <w:rFonts w:hint="default"/>
                <w:b w:val="0"/>
                <w:bCs/>
                <w:sz w:val="18"/>
                <w:szCs w:val="18"/>
                <w:vertAlign w:val="baseline"/>
                <w:lang w:val="en-US" w:eastAsia="zh-CN"/>
              </w:rPr>
              <w:t>”</w:t>
            </w:r>
            <w:r>
              <w:rPr>
                <w:rFonts w:hint="eastAsia"/>
                <w:b w:val="0"/>
                <w:bCs/>
                <w:sz w:val="18"/>
                <w:szCs w:val="18"/>
                <w:vertAlign w:val="baseline"/>
                <w:lang w:val="en-US" w:eastAsia="zh-CN"/>
              </w:rPr>
              <w:t xml:space="preserve"> </w:t>
            </w:r>
          </w:p>
        </w:tc>
        <w:tc>
          <w:tcPr>
            <w:tcW w:w="3104" w:type="dxa"/>
          </w:tcPr>
          <w:p>
            <w:pPr>
              <w:jc w:val="both"/>
              <w:rPr>
                <w:rFonts w:hint="default"/>
                <w:b w:val="0"/>
                <w:bCs/>
                <w:szCs w:val="20"/>
                <w:vertAlign w:val="baseline"/>
                <w:lang w:val="en-US" w:eastAsia="zh-CN"/>
              </w:rPr>
            </w:pPr>
            <w:r>
              <w:rPr>
                <w:rFonts w:hint="eastAsia"/>
                <w:b w:val="0"/>
                <w:bCs/>
                <w:szCs w:val="20"/>
                <w:vertAlign w:val="baseline"/>
                <w:lang w:val="en-US" w:eastAsia="zh-CN"/>
              </w:rPr>
              <w:t>Yes</w:t>
            </w:r>
          </w:p>
        </w:tc>
        <w:tc>
          <w:tcPr>
            <w:tcW w:w="2804" w:type="dxa"/>
          </w:tcPr>
          <w:p>
            <w:pPr>
              <w:jc w:val="both"/>
              <w:rPr>
                <w:rFonts w:hint="default"/>
                <w:b w:val="0"/>
                <w:bCs/>
                <w:szCs w:val="20"/>
                <w:vertAlign w:val="baseline"/>
                <w:lang w:val="en-US" w:eastAsia="zh-CN"/>
              </w:rPr>
            </w:pPr>
            <w:r>
              <w:rPr>
                <w:rFonts w:hint="eastAsia"/>
                <w:b w:val="0"/>
                <w:bCs/>
                <w:szCs w:val="20"/>
                <w:vertAlign w:val="baseli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9" w:type="dxa"/>
          </w:tcPr>
          <w:p>
            <w:pPr>
              <w:jc w:val="both"/>
              <w:rPr>
                <w:rFonts w:hint="default"/>
                <w:b w:val="0"/>
                <w:bCs/>
                <w:szCs w:val="20"/>
                <w:vertAlign w:val="baseline"/>
                <w:lang w:val="en-US" w:eastAsia="zh-CN"/>
              </w:rPr>
            </w:pPr>
            <w:r>
              <w:rPr>
                <w:rFonts w:hint="eastAsia"/>
                <w:b w:val="0"/>
                <w:bCs/>
                <w:szCs w:val="20"/>
                <w:vertAlign w:val="baseline"/>
                <w:lang w:val="en-US" w:eastAsia="zh-CN"/>
              </w:rPr>
              <w:t>Yes</w:t>
            </w:r>
          </w:p>
        </w:tc>
        <w:tc>
          <w:tcPr>
            <w:tcW w:w="3104" w:type="dxa"/>
          </w:tcPr>
          <w:p>
            <w:pPr>
              <w:jc w:val="both"/>
              <w:rPr>
                <w:rFonts w:hint="default"/>
                <w:b w:val="0"/>
                <w:bCs/>
                <w:szCs w:val="20"/>
                <w:vertAlign w:val="baseline"/>
                <w:lang w:val="en-US" w:eastAsia="zh-CN"/>
              </w:rPr>
            </w:pPr>
            <w:r>
              <w:rPr>
                <w:rFonts w:hint="eastAsia"/>
                <w:b w:val="0"/>
                <w:bCs/>
                <w:szCs w:val="20"/>
                <w:vertAlign w:val="baseline"/>
                <w:lang w:val="en-US" w:eastAsia="zh-CN"/>
              </w:rPr>
              <w:t xml:space="preserve">Both Rel-18 mobile IAB node and Rel-16/17 IAB node can camp and connect to this parent cell.   </w:t>
            </w:r>
          </w:p>
        </w:tc>
        <w:tc>
          <w:tcPr>
            <w:tcW w:w="2804" w:type="dxa"/>
          </w:tcPr>
          <w:p>
            <w:pPr>
              <w:jc w:val="both"/>
              <w:rPr>
                <w:rFonts w:hint="default"/>
                <w:b w:val="0"/>
                <w:bCs/>
                <w:szCs w:val="20"/>
                <w:vertAlign w:val="baseline"/>
                <w:lang w:val="en-US" w:eastAsia="zh-CN"/>
              </w:rPr>
            </w:pPr>
            <w:r>
              <w:rPr>
                <w:rFonts w:hint="eastAsia"/>
                <w:b w:val="0"/>
                <w:bCs/>
                <w:szCs w:val="20"/>
                <w:vertAlign w:val="baseline"/>
                <w:lang w:val="en-US" w:eastAsia="zh-CN"/>
              </w:rPr>
              <w:t xml:space="preserve">Only Rel-18 mobile IAB node can camp and connect to this parent 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9" w:type="dxa"/>
          </w:tcPr>
          <w:p>
            <w:pPr>
              <w:jc w:val="both"/>
              <w:rPr>
                <w:rFonts w:hint="default"/>
                <w:b w:val="0"/>
                <w:bCs/>
                <w:szCs w:val="20"/>
                <w:vertAlign w:val="baseline"/>
                <w:lang w:val="en-US" w:eastAsia="zh-CN"/>
              </w:rPr>
            </w:pPr>
            <w:r>
              <w:rPr>
                <w:rFonts w:hint="eastAsia"/>
                <w:b w:val="0"/>
                <w:bCs/>
                <w:szCs w:val="20"/>
                <w:vertAlign w:val="baseline"/>
                <w:lang w:val="en-US" w:eastAsia="zh-CN"/>
              </w:rPr>
              <w:t xml:space="preserve">No </w:t>
            </w:r>
          </w:p>
        </w:tc>
        <w:tc>
          <w:tcPr>
            <w:tcW w:w="3104" w:type="dxa"/>
          </w:tcPr>
          <w:p>
            <w:pPr>
              <w:jc w:val="both"/>
              <w:rPr>
                <w:rFonts w:hint="eastAsia"/>
                <w:b w:val="0"/>
                <w:bCs/>
                <w:szCs w:val="20"/>
                <w:vertAlign w:val="baseline"/>
                <w:lang w:val="en-US" w:eastAsia="zh-CN"/>
              </w:rPr>
            </w:pPr>
            <w:r>
              <w:rPr>
                <w:rFonts w:hint="eastAsia"/>
                <w:b w:val="0"/>
                <w:bCs/>
                <w:szCs w:val="20"/>
                <w:vertAlign w:val="baseline"/>
                <w:lang w:val="en-US" w:eastAsia="zh-CN"/>
              </w:rPr>
              <w:t xml:space="preserve">Rel-16/17 IAB node can camp and connect to this parent cell. </w:t>
            </w:r>
          </w:p>
          <w:p>
            <w:pPr>
              <w:jc w:val="both"/>
              <w:rPr>
                <w:rFonts w:hint="default"/>
                <w:b w:val="0"/>
                <w:bCs/>
                <w:szCs w:val="20"/>
                <w:vertAlign w:val="baseline"/>
                <w:lang w:val="en-US" w:eastAsia="zh-CN"/>
              </w:rPr>
            </w:pPr>
            <w:r>
              <w:rPr>
                <w:rFonts w:hint="eastAsia"/>
                <w:b w:val="0"/>
                <w:bCs/>
                <w:szCs w:val="20"/>
                <w:vertAlign w:val="baseline"/>
                <w:lang w:val="en-US" w:eastAsia="zh-CN"/>
              </w:rPr>
              <w:t>For Rel-18 mobile IAB node acting as Rel-16/17 IAB, it may camp and connect to this parent cell  node.</w:t>
            </w:r>
          </w:p>
        </w:tc>
        <w:tc>
          <w:tcPr>
            <w:tcW w:w="2804" w:type="dxa"/>
          </w:tcPr>
          <w:p>
            <w:pPr>
              <w:jc w:val="both"/>
              <w:rPr>
                <w:rFonts w:hint="default"/>
                <w:b w:val="0"/>
                <w:bCs/>
                <w:szCs w:val="20"/>
                <w:vertAlign w:val="baseline"/>
                <w:lang w:val="en-US" w:eastAsia="zh-CN"/>
              </w:rPr>
            </w:pPr>
            <w:r>
              <w:rPr>
                <w:rFonts w:hint="eastAsia"/>
                <w:b w:val="0"/>
                <w:bCs/>
                <w:szCs w:val="20"/>
                <w:vertAlign w:val="baseline"/>
                <w:lang w:val="en-US" w:eastAsia="zh-CN"/>
              </w:rPr>
              <w:t>Neither Rel-18 mobile IAB node nor Rel-16/17 IAB node can camp and connect to this parent cell.</w:t>
            </w:r>
          </w:p>
        </w:tc>
      </w:tr>
    </w:tbl>
    <w:p>
      <w:pPr>
        <w:spacing w:before="157" w:beforeLines="50"/>
        <w:jc w:val="both"/>
        <w:rPr>
          <w:rFonts w:hint="default"/>
          <w:b w:val="0"/>
          <w:bCs/>
          <w:szCs w:val="20"/>
          <w:vertAlign w:val="baseline"/>
          <w:lang w:val="en-US" w:eastAsia="zh-CN"/>
        </w:rPr>
      </w:pPr>
      <w:r>
        <w:rPr>
          <w:rFonts w:hint="eastAsia"/>
          <w:b w:val="0"/>
          <w:bCs/>
          <w:szCs w:val="20"/>
          <w:lang w:val="en-US" w:eastAsia="zh-CN"/>
        </w:rPr>
        <w:t xml:space="preserve">As we can see, if both </w:t>
      </w:r>
      <w:r>
        <w:rPr>
          <w:rFonts w:hint="default"/>
          <w:lang w:val="en-US" w:eastAsia="zh-CN"/>
        </w:rPr>
        <w:t>“</w:t>
      </w:r>
      <w:r>
        <w:rPr>
          <w:rFonts w:hint="eastAsia"/>
          <w:lang w:val="en-US" w:eastAsia="zh-CN"/>
        </w:rPr>
        <w:t>IAB supported</w:t>
      </w:r>
      <w:r>
        <w:rPr>
          <w:rFonts w:hint="default"/>
          <w:lang w:val="en-US" w:eastAsia="zh-CN"/>
        </w:rPr>
        <w:t>”</w:t>
      </w:r>
      <w:r>
        <w:rPr>
          <w:rFonts w:hint="eastAsia"/>
          <w:lang w:val="en-US" w:eastAsia="zh-CN"/>
        </w:rPr>
        <w:t xml:space="preserve"> and </w:t>
      </w:r>
      <w:r>
        <w:rPr>
          <w:b w:val="0"/>
          <w:bCs/>
          <w:szCs w:val="20"/>
        </w:rPr>
        <w:t>"mobile-IAB</w:t>
      </w:r>
      <w:r>
        <w:rPr>
          <w:rFonts w:hint="eastAsia"/>
          <w:b w:val="0"/>
          <w:bCs/>
          <w:szCs w:val="20"/>
          <w:lang w:val="en-US" w:eastAsia="zh-CN"/>
        </w:rPr>
        <w:t xml:space="preserve"> supported</w:t>
      </w:r>
      <w:r>
        <w:rPr>
          <w:b w:val="0"/>
          <w:bCs/>
          <w:szCs w:val="20"/>
        </w:rPr>
        <w:t>" indication</w:t>
      </w:r>
      <w:r>
        <w:rPr>
          <w:rFonts w:hint="eastAsia"/>
          <w:b w:val="0"/>
          <w:bCs/>
          <w:szCs w:val="20"/>
          <w:lang w:val="en-US" w:eastAsia="zh-CN"/>
        </w:rPr>
        <w:t xml:space="preserve">s are present, it means that </w:t>
      </w:r>
      <w:r>
        <w:rPr>
          <w:rFonts w:hint="eastAsia"/>
          <w:b w:val="0"/>
          <w:bCs/>
          <w:szCs w:val="20"/>
          <w:vertAlign w:val="baseline"/>
          <w:lang w:val="en-US" w:eastAsia="zh-CN"/>
        </w:rPr>
        <w:t xml:space="preserve">both Rel-18 mobile IAB node and Rel-16/17 IAB node can camp and connect to this parent cell. If only </w:t>
      </w:r>
      <w:r>
        <w:rPr>
          <w:rFonts w:hint="default"/>
          <w:b w:val="0"/>
          <w:bCs/>
          <w:szCs w:val="20"/>
          <w:vertAlign w:val="baseline"/>
          <w:lang w:val="en-US" w:eastAsia="zh-CN"/>
        </w:rPr>
        <w:t>“</w:t>
      </w:r>
      <w:r>
        <w:rPr>
          <w:rFonts w:hint="eastAsia"/>
          <w:b w:val="0"/>
          <w:bCs/>
          <w:szCs w:val="20"/>
          <w:vertAlign w:val="baseline"/>
          <w:lang w:val="en-US" w:eastAsia="zh-CN"/>
        </w:rPr>
        <w:t>mobile-IAB supported</w:t>
      </w:r>
      <w:r>
        <w:rPr>
          <w:rFonts w:hint="default"/>
          <w:b w:val="0"/>
          <w:bCs/>
          <w:szCs w:val="20"/>
          <w:vertAlign w:val="baseline"/>
          <w:lang w:val="en-US" w:eastAsia="zh-CN"/>
        </w:rPr>
        <w:t>”</w:t>
      </w:r>
      <w:r>
        <w:rPr>
          <w:rFonts w:hint="eastAsia"/>
          <w:b w:val="0"/>
          <w:bCs/>
          <w:szCs w:val="20"/>
          <w:vertAlign w:val="baseline"/>
          <w:lang w:val="en-US" w:eastAsia="zh-CN"/>
        </w:rPr>
        <w:t xml:space="preserve"> indication is present, Rel-18 mobile IAB node can camp and connect to this parent cell. However, if only </w:t>
      </w:r>
      <w:r>
        <w:rPr>
          <w:rFonts w:hint="default"/>
          <w:b w:val="0"/>
          <w:bCs/>
          <w:szCs w:val="20"/>
          <w:vertAlign w:val="baseline"/>
          <w:lang w:val="en-US" w:eastAsia="zh-CN"/>
        </w:rPr>
        <w:t>“</w:t>
      </w:r>
      <w:r>
        <w:rPr>
          <w:rFonts w:hint="eastAsia"/>
          <w:b w:val="0"/>
          <w:bCs/>
          <w:szCs w:val="20"/>
          <w:vertAlign w:val="baseline"/>
          <w:lang w:val="en-US" w:eastAsia="zh-CN"/>
        </w:rPr>
        <w:t>IAB supported</w:t>
      </w:r>
      <w:r>
        <w:rPr>
          <w:rFonts w:hint="default"/>
          <w:b w:val="0"/>
          <w:bCs/>
          <w:szCs w:val="20"/>
          <w:vertAlign w:val="baseline"/>
          <w:lang w:val="en-US" w:eastAsia="zh-CN"/>
        </w:rPr>
        <w:t>”</w:t>
      </w:r>
      <w:r>
        <w:rPr>
          <w:rFonts w:hint="eastAsia"/>
          <w:b w:val="0"/>
          <w:bCs/>
          <w:szCs w:val="20"/>
          <w:vertAlign w:val="baseline"/>
          <w:lang w:val="en-US" w:eastAsia="zh-CN"/>
        </w:rPr>
        <w:t xml:space="preserve"> indication is present, Rel-16/17 IAB node can definitely camp and connect to this parent cell. For the Rel-18 mobile IAB node, as we agreed before, </w:t>
      </w:r>
      <w:r>
        <w:rPr>
          <w:rFonts w:hint="eastAsia"/>
          <w:b w:val="0"/>
          <w:bCs/>
          <w:szCs w:val="20"/>
          <w:lang w:val="en-US" w:eastAsia="zh-CN"/>
        </w:rPr>
        <w:t>a</w:t>
      </w:r>
      <w:r>
        <w:t xml:space="preserve"> mobile IAB-node can access a parent cell that broadcasts “IAB supported”, but not “mobile IAB supported”.</w:t>
      </w:r>
      <w:r>
        <w:rPr>
          <w:rFonts w:hint="eastAsia"/>
          <w:lang w:val="en-US" w:eastAsia="zh-CN"/>
        </w:rPr>
        <w:t xml:space="preserve"> Here the parent cell only broadcast </w:t>
      </w:r>
      <w:r>
        <w:rPr>
          <w:rFonts w:hint="default"/>
          <w:lang w:val="en-US" w:eastAsia="zh-CN"/>
        </w:rPr>
        <w:t>“</w:t>
      </w:r>
      <w:r>
        <w:rPr>
          <w:rFonts w:hint="eastAsia"/>
          <w:lang w:val="en-US" w:eastAsia="zh-CN"/>
        </w:rPr>
        <w:t>IAB supported</w:t>
      </w:r>
      <w:r>
        <w:rPr>
          <w:rFonts w:hint="default"/>
          <w:lang w:val="en-US" w:eastAsia="zh-CN"/>
        </w:rPr>
        <w:t>”</w:t>
      </w:r>
      <w:r>
        <w:rPr>
          <w:rFonts w:hint="eastAsia"/>
          <w:lang w:val="en-US" w:eastAsia="zh-CN"/>
        </w:rPr>
        <w:t xml:space="preserve"> may include two cases. One is that it is not Rel-18 mobile IAB capable. The other one is that it is Rel-18 mobile IAB capable but it does not allow the access of Rel-18 mobile IAB. For both cases, </w:t>
      </w:r>
      <w:r>
        <w:rPr>
          <w:rFonts w:hint="eastAsia"/>
          <w:b w:val="0"/>
          <w:bCs/>
          <w:szCs w:val="20"/>
          <w:vertAlign w:val="baseline"/>
          <w:lang w:val="en-US" w:eastAsia="zh-CN"/>
        </w:rPr>
        <w:t xml:space="preserve">the Rel-18 mobile IAB node can only act as Rel-16/17 IAB to camp and connect to this parent cell. </w:t>
      </w:r>
    </w:p>
    <w:p>
      <w:pPr>
        <w:spacing w:before="157" w:beforeLines="50"/>
        <w:jc w:val="both"/>
        <w:rPr>
          <w:rFonts w:hint="default"/>
          <w:b/>
          <w:bCs w:val="0"/>
          <w:szCs w:val="20"/>
          <w:vertAlign w:val="baseline"/>
          <w:lang w:val="en-US" w:eastAsia="zh-CN"/>
        </w:rPr>
      </w:pPr>
      <w:r>
        <w:rPr>
          <w:rFonts w:hint="eastAsia"/>
          <w:b/>
          <w:bCs w:val="0"/>
          <w:szCs w:val="20"/>
          <w:vertAlign w:val="baseline"/>
          <w:lang w:val="en-US" w:eastAsia="zh-CN"/>
        </w:rPr>
        <w:t xml:space="preserve">Proposal 1: The </w:t>
      </w:r>
      <w:r>
        <w:rPr>
          <w:b/>
          <w:bCs w:val="0"/>
          <w:szCs w:val="20"/>
        </w:rPr>
        <w:t>"mobile-IAB</w:t>
      </w:r>
      <w:r>
        <w:rPr>
          <w:rFonts w:hint="eastAsia"/>
          <w:b/>
          <w:bCs w:val="0"/>
          <w:szCs w:val="20"/>
          <w:lang w:val="en-US" w:eastAsia="zh-CN"/>
        </w:rPr>
        <w:t xml:space="preserve"> supported</w:t>
      </w:r>
      <w:r>
        <w:rPr>
          <w:b/>
          <w:bCs w:val="0"/>
          <w:szCs w:val="20"/>
        </w:rPr>
        <w:t xml:space="preserve">" </w:t>
      </w:r>
      <w:r>
        <w:rPr>
          <w:rFonts w:hint="eastAsia"/>
          <w:b/>
          <w:bCs w:val="0"/>
          <w:szCs w:val="20"/>
          <w:lang w:val="en-US" w:eastAsia="zh-CN"/>
        </w:rPr>
        <w:t xml:space="preserve">indication broadcast by the </w:t>
      </w:r>
      <w:r>
        <w:rPr>
          <w:b/>
          <w:bCs w:val="0"/>
          <w:szCs w:val="20"/>
        </w:rPr>
        <w:t xml:space="preserve">Rel-18 </w:t>
      </w:r>
      <w:r>
        <w:rPr>
          <w:rFonts w:hint="eastAsia"/>
          <w:b/>
          <w:bCs w:val="0"/>
          <w:szCs w:val="20"/>
          <w:lang w:val="en-US" w:eastAsia="zh-CN"/>
        </w:rPr>
        <w:t>m</w:t>
      </w:r>
      <w:r>
        <w:rPr>
          <w:b/>
          <w:bCs w:val="0"/>
          <w:szCs w:val="20"/>
        </w:rPr>
        <w:t>obile IAB capable parent cell</w:t>
      </w:r>
      <w:r>
        <w:rPr>
          <w:rFonts w:hint="eastAsia"/>
          <w:b/>
          <w:bCs w:val="0"/>
          <w:szCs w:val="20"/>
          <w:lang w:val="en-US" w:eastAsia="zh-CN"/>
        </w:rPr>
        <w:t xml:space="preserve"> can be used for the mobile IAB functionality support indication as well as for the access control purpose.</w:t>
      </w:r>
    </w:p>
    <w:p>
      <w:pPr>
        <w:spacing w:before="157" w:beforeLines="50"/>
        <w:jc w:val="both"/>
        <w:rPr>
          <w:rFonts w:hint="eastAsia"/>
          <w:lang w:eastAsia="zh-CN"/>
        </w:rPr>
      </w:pPr>
      <w:r>
        <w:rPr>
          <w:rFonts w:hint="eastAsia"/>
          <w:b/>
          <w:bCs w:val="0"/>
          <w:szCs w:val="20"/>
          <w:lang w:val="en-US" w:eastAsia="zh-CN"/>
        </w:rPr>
        <w:t xml:space="preserve">Proposal 2: For the parent cell which support both Rel-16/17 IAB and </w:t>
      </w:r>
      <w:r>
        <w:rPr>
          <w:b/>
          <w:bCs w:val="0"/>
          <w:szCs w:val="20"/>
        </w:rPr>
        <w:t>Rel-18 Mobile IAB</w:t>
      </w:r>
      <w:r>
        <w:rPr>
          <w:rFonts w:hint="eastAsia"/>
          <w:b/>
          <w:bCs w:val="0"/>
          <w:szCs w:val="20"/>
          <w:lang w:val="en-US" w:eastAsia="zh-CN"/>
        </w:rPr>
        <w:t xml:space="preserve">, it controls the presence of </w:t>
      </w:r>
      <w:r>
        <w:rPr>
          <w:rFonts w:hint="default"/>
          <w:b/>
          <w:bCs w:val="0"/>
          <w:lang w:val="en-US" w:eastAsia="zh-CN"/>
        </w:rPr>
        <w:t>“</w:t>
      </w:r>
      <w:r>
        <w:rPr>
          <w:rFonts w:hint="eastAsia"/>
          <w:b/>
          <w:bCs w:val="0"/>
          <w:lang w:val="en-US" w:eastAsia="zh-CN"/>
        </w:rPr>
        <w:t>IAB supported</w:t>
      </w:r>
      <w:r>
        <w:rPr>
          <w:rFonts w:hint="default"/>
          <w:b/>
          <w:bCs w:val="0"/>
          <w:lang w:val="en-US" w:eastAsia="zh-CN"/>
        </w:rPr>
        <w:t>”</w:t>
      </w:r>
      <w:r>
        <w:rPr>
          <w:rFonts w:hint="eastAsia"/>
          <w:b/>
          <w:bCs w:val="0"/>
          <w:lang w:val="en-US" w:eastAsia="zh-CN"/>
        </w:rPr>
        <w:t xml:space="preserve"> and </w:t>
      </w:r>
      <w:r>
        <w:rPr>
          <w:b/>
          <w:bCs w:val="0"/>
          <w:szCs w:val="20"/>
        </w:rPr>
        <w:t>"mobile-IAB</w:t>
      </w:r>
      <w:r>
        <w:rPr>
          <w:rFonts w:hint="eastAsia"/>
          <w:b/>
          <w:bCs w:val="0"/>
          <w:szCs w:val="20"/>
          <w:lang w:val="en-US" w:eastAsia="zh-CN"/>
        </w:rPr>
        <w:t xml:space="preserve"> supported</w:t>
      </w:r>
      <w:r>
        <w:rPr>
          <w:b/>
          <w:bCs w:val="0"/>
          <w:szCs w:val="20"/>
        </w:rPr>
        <w:t>" indication</w:t>
      </w:r>
      <w:r>
        <w:rPr>
          <w:rFonts w:hint="eastAsia"/>
          <w:b/>
          <w:bCs w:val="0"/>
          <w:szCs w:val="20"/>
          <w:lang w:val="en-US" w:eastAsia="zh-CN"/>
        </w:rPr>
        <w:t xml:space="preserve"> independently. </w:t>
      </w:r>
    </w:p>
    <w:p>
      <w:pPr>
        <w:pStyle w:val="3"/>
        <w:bidi w:val="0"/>
        <w:rPr>
          <w:rFonts w:hint="eastAsia"/>
          <w:lang w:eastAsia="zh-CN"/>
        </w:rPr>
      </w:pPr>
      <w:r>
        <w:rPr>
          <w:rFonts w:hint="eastAsia"/>
          <w:lang w:val="en-US" w:eastAsia="zh-CN"/>
        </w:rPr>
        <w:t>PCI list</w:t>
      </w:r>
    </w:p>
    <w:p>
      <w:pPr>
        <w:jc w:val="both"/>
        <w:rPr>
          <w:rFonts w:hint="default" w:ascii="Times New Roman" w:hAnsi="Times New Roman" w:cs="Times New Roman"/>
          <w:sz w:val="20"/>
          <w:szCs w:val="20"/>
          <w:lang w:eastAsia="ja-JP"/>
        </w:rPr>
      </w:pPr>
      <w:r>
        <w:rPr>
          <w:rFonts w:hint="eastAsia"/>
          <w:lang w:val="en-US" w:eastAsia="zh-CN"/>
        </w:rPr>
        <w:t>During last meeting, it is agreed that</w:t>
      </w:r>
      <w:r>
        <w:rPr>
          <w:rFonts w:hint="default" w:ascii="Times New Roman" w:hAnsi="Times New Roman" w:cs="Times New Roman"/>
          <w:lang w:val="en-US" w:eastAsia="zh-CN"/>
        </w:rPr>
        <w:t xml:space="preserve"> </w:t>
      </w:r>
      <w:r>
        <w:rPr>
          <w:rFonts w:hint="default" w:ascii="Times New Roman" w:hAnsi="Times New Roman" w:cs="Times New Roman"/>
          <w:sz w:val="20"/>
          <w:szCs w:val="20"/>
          <w:lang w:eastAsia="ja-JP"/>
        </w:rPr>
        <w:t>mIAB PCI list is optional present (i.e., not mandatory) for indicated mIAB frequency (confirming that mIAB PCI list is introduced)</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However, it is FFS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ja-JP"/>
        </w:rPr>
        <w:t>if mIAB PCI list is not necessarily exclusive, i.e., the PCI list may or may not include PCIs of non-mIAB cell.</w:t>
      </w:r>
      <w:r>
        <w:rPr>
          <w:rFonts w:hint="eastAsia" w:ascii="Times New Roman" w:hAnsi="Times New Roman" w:cs="Times New Roman"/>
          <w:sz w:val="20"/>
          <w:szCs w:val="20"/>
          <w:lang w:val="en-US" w:eastAsia="zh-CN"/>
        </w:rPr>
        <w:t xml:space="preserve"> It is also FFS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ja-JP"/>
        </w:rPr>
        <w:t>if mIAB PCI list is not necessarily complete, i.e., the PCI list may or may not include all possible mIAB PCIs.</w:t>
      </w:r>
    </w:p>
    <w:p>
      <w:pPr>
        <w:jc w:val="both"/>
        <w:rPr>
          <w:rFonts w:hint="eastAsia"/>
          <w:b w:val="0"/>
          <w:bCs w:val="0"/>
          <w:lang w:val="en-US" w:eastAsia="zh-CN"/>
        </w:rPr>
      </w:pPr>
      <w:r>
        <w:rPr>
          <w:rFonts w:hint="eastAsia" w:ascii="Times New Roman" w:hAnsi="Times New Roman" w:cs="Times New Roman"/>
          <w:sz w:val="20"/>
          <w:szCs w:val="20"/>
          <w:lang w:val="en-US" w:eastAsia="zh-CN"/>
        </w:rPr>
        <w:t>In our opinion, whether the mIAB PCI list can be exclusive/complete depends on the network implementation. For example, if the network operator pre-assign a dedicated list of PCI for mobile IAB and it is mandated that the PCIs within the dedicated list can not be used for other purpose, it is likely that the neighboring cell broadcasts the exclusive and complete</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mIAB PCI list. On the other hand, suppose there is no dedicated PCI for mobile IAB, the PCI of mobile IAB cell may be dynamically changed whenever the mobile IAB migrates to a new donor CU. In this case,</w:t>
      </w:r>
      <w:r>
        <w:rPr>
          <w:rFonts w:hint="eastAsia"/>
          <w:lang w:val="en-US" w:eastAsia="zh-CN"/>
        </w:rPr>
        <w:t xml:space="preserve"> neighboring stationary cell can only collect the </w:t>
      </w:r>
      <w:r>
        <w:rPr>
          <w:rFonts w:hint="eastAsia"/>
          <w:b w:val="0"/>
          <w:bCs w:val="0"/>
          <w:lang w:val="en-US" w:eastAsia="zh-CN"/>
        </w:rPr>
        <w:t xml:space="preserve">occasionally appeared mobile IAB cells information based on the Xn node configuration update procedure. It is not realistic to guarantee the exclusive and complete feature of the broadcast PCI list of mobile IAB cell. </w:t>
      </w:r>
    </w:p>
    <w:p>
      <w:pPr>
        <w:jc w:val="both"/>
        <w:rPr>
          <w:rFonts w:hint="eastAsia"/>
          <w:b w:val="0"/>
          <w:bCs w:val="0"/>
          <w:lang w:val="en-US" w:eastAsia="zh-CN"/>
        </w:rPr>
      </w:pPr>
      <w:r>
        <w:rPr>
          <w:rFonts w:hint="eastAsia" w:cs="Times New Roman"/>
          <w:b/>
          <w:bCs/>
          <w:sz w:val="20"/>
          <w:szCs w:val="20"/>
          <w:lang w:val="en-US" w:eastAsia="zh-CN"/>
        </w:rPr>
        <w:t>Proposal 3: W</w:t>
      </w:r>
      <w:r>
        <w:rPr>
          <w:rFonts w:hint="eastAsia" w:ascii="Times New Roman" w:hAnsi="Times New Roman" w:cs="Times New Roman"/>
          <w:b/>
          <w:bCs/>
          <w:sz w:val="20"/>
          <w:szCs w:val="20"/>
          <w:lang w:val="en-US" w:eastAsia="zh-CN"/>
        </w:rPr>
        <w:t>hether the mIAB PCI list can be exclusive</w:t>
      </w:r>
      <w:r>
        <w:rPr>
          <w:rFonts w:hint="eastAsia" w:cs="Times New Roman"/>
          <w:b/>
          <w:bCs/>
          <w:sz w:val="20"/>
          <w:szCs w:val="20"/>
          <w:lang w:val="en-US" w:eastAsia="zh-CN"/>
        </w:rPr>
        <w:t>/</w:t>
      </w:r>
      <w:r>
        <w:rPr>
          <w:rFonts w:hint="eastAsia" w:ascii="Times New Roman" w:hAnsi="Times New Roman" w:cs="Times New Roman"/>
          <w:b/>
          <w:bCs/>
          <w:sz w:val="20"/>
          <w:szCs w:val="20"/>
          <w:lang w:val="en-US" w:eastAsia="zh-CN"/>
        </w:rPr>
        <w:t>complete depends on the network implementation.</w:t>
      </w:r>
    </w:p>
    <w:p>
      <w:pPr>
        <w:jc w:val="both"/>
        <w:rPr>
          <w:rFonts w:hint="eastAsia"/>
          <w:lang w:val="en-US" w:eastAsia="zh-CN"/>
        </w:rPr>
      </w:pPr>
      <w:r>
        <w:rPr>
          <w:rFonts w:hint="eastAsia"/>
          <w:lang w:val="en-US" w:eastAsia="zh-CN"/>
        </w:rPr>
        <w:t>No matter whether the mIAB PCI list is exclusive/complete or not, the frequency and mIAB PCI list may facilitate UE</w:t>
      </w:r>
      <w:r>
        <w:rPr>
          <w:rFonts w:hint="default"/>
          <w:lang w:val="en-US" w:eastAsia="zh-CN"/>
        </w:rPr>
        <w:t>’</w:t>
      </w:r>
      <w:r>
        <w:rPr>
          <w:rFonts w:hint="eastAsia"/>
          <w:lang w:val="en-US" w:eastAsia="zh-CN"/>
        </w:rPr>
        <w:t xml:space="preserve">s potential mobile IAB cell detection. However, UE still need to receive the SIB1 of the potential mobile IAB cell since UE needs to check the indications of cell status and special reservations for access control. Suppose one of the detected mobile IAB cell is barred, UE can turn to detect other mobile IAB cells. On the other hand, if none of the cells within the mIAB PCI list is suitable, UE can still detect other neighboring cells which may be mobile IAB capable. As we can see, the optional frequency and mIAB PCI list only provide assistance information to UE. How to use it can be up to UE implementation. </w:t>
      </w:r>
    </w:p>
    <w:p>
      <w:pPr>
        <w:jc w:val="both"/>
        <w:rPr>
          <w:rFonts w:hint="default"/>
          <w:b/>
          <w:bCs/>
          <w:lang w:val="en-US" w:eastAsia="zh-CN"/>
        </w:rPr>
      </w:pPr>
      <w:r>
        <w:rPr>
          <w:rFonts w:hint="eastAsia"/>
          <w:b/>
          <w:bCs/>
          <w:lang w:val="en-US" w:eastAsia="zh-CN"/>
        </w:rPr>
        <w:t>Proposal 4: Even if the mIAB list is broadcast, UE still need to receive the SIB1 of the potential mobile IAB cell since UE needs to check the cell status and special reservations for access control.</w:t>
      </w:r>
    </w:p>
    <w:p>
      <w:pPr>
        <w:jc w:val="both"/>
        <w:rPr>
          <w:rFonts w:hint="eastAsia" w:cs="Times New Roman"/>
          <w:b/>
          <w:bCs/>
          <w:sz w:val="20"/>
          <w:szCs w:val="20"/>
          <w:lang w:val="en-US" w:eastAsia="zh-CN"/>
        </w:rPr>
      </w:pPr>
      <w:r>
        <w:rPr>
          <w:rFonts w:hint="eastAsia" w:ascii="Times New Roman" w:hAnsi="Times New Roman" w:cs="Times New Roman"/>
          <w:b/>
          <w:bCs/>
          <w:sz w:val="20"/>
          <w:szCs w:val="20"/>
          <w:lang w:val="en-US" w:eastAsia="zh-CN"/>
        </w:rPr>
        <w:t>Proposal 5: Upon receiving the mIAB PCI list</w:t>
      </w:r>
      <w:r>
        <w:rPr>
          <w:rFonts w:hint="eastAsia" w:cs="Times New Roman"/>
          <w:b/>
          <w:bCs/>
          <w:sz w:val="20"/>
          <w:szCs w:val="20"/>
          <w:lang w:val="en-US" w:eastAsia="zh-CN"/>
        </w:rPr>
        <w:t xml:space="preserve">, how to use it can be up to UE implementation. </w:t>
      </w:r>
    </w:p>
    <w:p>
      <w:pPr>
        <w:pStyle w:val="3"/>
        <w:bidi w:val="0"/>
        <w:rPr>
          <w:rFonts w:hint="default"/>
          <w:lang w:val="en-US" w:eastAsia="zh-CN"/>
        </w:rPr>
      </w:pPr>
      <w:r>
        <w:rPr>
          <w:rFonts w:hint="eastAsia"/>
          <w:lang w:val="en-US" w:eastAsia="zh-CN"/>
        </w:rPr>
        <w:t>Prioritization of frequency</w:t>
      </w:r>
    </w:p>
    <w:p>
      <w:pPr>
        <w:rPr>
          <w:rFonts w:hint="default"/>
          <w:lang w:val="en-US" w:eastAsia="zh-CN"/>
        </w:rPr>
      </w:pPr>
      <w:r>
        <w:rPr>
          <w:rFonts w:hint="eastAsia"/>
          <w:lang w:val="en-US" w:eastAsia="zh-CN"/>
        </w:rPr>
        <w:t xml:space="preserve">During the RAN2#123 meeting, the </w:t>
      </w:r>
      <w:r>
        <w:t>inter-frequency cell reselection</w:t>
      </w:r>
      <w:r>
        <w:rPr>
          <w:rFonts w:hint="eastAsia"/>
          <w:lang w:val="en-US" w:eastAsia="zh-CN"/>
        </w:rPr>
        <w:t xml:space="preserve"> WA has been confirmed, i.e., f</w:t>
      </w:r>
      <w:r>
        <w:t>or a UE that is “on-board”, irrespective whether it is camped on the mobile IAB cell or a stationary cell, it can prioritize another frequency for which a mobile IAB cell is the best cell.</w:t>
      </w:r>
      <w:r>
        <w:rPr>
          <w:rFonts w:hint="eastAsia"/>
          <w:lang w:val="en-US" w:eastAsia="zh-CN"/>
        </w:rPr>
        <w:t xml:space="preserve"> During the latest running CR drafting, it is captured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after="0"/>
              <w:rPr>
                <w:rFonts w:hint="eastAsia"/>
                <w:vertAlign w:val="baseline"/>
                <w:lang w:val="en-US" w:eastAsia="zh-CN"/>
              </w:rPr>
            </w:pPr>
            <w:r>
              <w:rPr>
                <w:i/>
                <w:iCs/>
                <w:lang w:eastAsia="zh-CN"/>
              </w:rPr>
              <w:t>A UE on a vehicle with a mobile IAB-cell may consider the frequency for which a mobile IAB cell is the best cell to be the highest priority.</w:t>
            </w:r>
            <w:r>
              <w:rPr>
                <w:lang w:eastAsia="zh-CN"/>
              </w:rPr>
              <w:t xml:space="preserve"> </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val="0"/>
          <w:bCs w:val="0"/>
          <w:lang w:val="en-US" w:eastAsia="zh-CN"/>
        </w:rPr>
      </w:pPr>
      <w:r>
        <w:rPr>
          <w:rFonts w:hint="eastAsia"/>
          <w:lang w:val="en-US" w:eastAsia="zh-CN"/>
        </w:rPr>
        <w:t xml:space="preserve">The above frequency prioritization can be used by UE to detect the frequency and mobile IAB cell before UE camped on the mobile IAB cell. In this case, if UE detects the frequency with mobile IAB cell as the best cell, UE regards the frequency as highest priority and UE can select the best mobile IAB cell to camp. After a while, the mobile IAB cell may be no longer ranked as the best case. It is not clear if the UE will continue to prioritize the frequency. In our opinion, once UE has already camped on the mobile IAB cell, </w:t>
      </w:r>
      <w:r>
        <w:rPr>
          <w:rFonts w:hint="eastAsia"/>
          <w:b w:val="0"/>
          <w:bCs w:val="0"/>
        </w:rPr>
        <w:t xml:space="preserve">UE </w:t>
      </w:r>
      <w:r>
        <w:rPr>
          <w:rFonts w:hint="eastAsia"/>
          <w:b w:val="0"/>
          <w:bCs w:val="0"/>
          <w:lang w:val="en-US" w:eastAsia="zh-CN"/>
        </w:rPr>
        <w:t xml:space="preserve">may </w:t>
      </w:r>
      <w:r>
        <w:rPr>
          <w:rFonts w:hint="eastAsia"/>
          <w:b w:val="0"/>
          <w:bCs w:val="0"/>
        </w:rPr>
        <w:t>regard the frequency which provide</w:t>
      </w:r>
      <w:r>
        <w:rPr>
          <w:rFonts w:hint="eastAsia"/>
          <w:b w:val="0"/>
          <w:bCs w:val="0"/>
          <w:lang w:val="en-US" w:eastAsia="zh-CN"/>
        </w:rPr>
        <w:t>s</w:t>
      </w:r>
      <w:r>
        <w:rPr>
          <w:rFonts w:hint="eastAsia"/>
          <w:b w:val="0"/>
          <w:bCs w:val="0"/>
        </w:rPr>
        <w:t xml:space="preserve"> mobile IAB cell to be the highest priority</w:t>
      </w:r>
      <w:r>
        <w:rPr>
          <w:rFonts w:hint="eastAsia"/>
          <w:b w:val="0"/>
          <w:bCs w:val="0"/>
          <w:lang w:val="en-US" w:eastAsia="zh-CN"/>
        </w:rPr>
        <w:t xml:space="preserve"> even if the mobile IAB cell is not the best cell.</w:t>
      </w:r>
      <w:r>
        <w:rPr>
          <w:rFonts w:hint="eastAsia"/>
          <w:b w:val="0"/>
          <w:bCs w:val="0"/>
        </w:rPr>
        <w:t xml:space="preserve"> </w:t>
      </w:r>
      <w:r>
        <w:rPr>
          <w:rFonts w:hint="eastAsia"/>
          <w:b w:val="0"/>
          <w:bCs w:val="0"/>
          <w:lang w:val="en-US" w:eastAsia="zh-CN"/>
        </w:rPr>
        <w:t xml:space="preserve">In this way, </w:t>
      </w:r>
      <w:r>
        <w:rPr>
          <w:rFonts w:hint="eastAsia"/>
          <w:b w:val="0"/>
          <w:bCs w:val="0"/>
        </w:rPr>
        <w:t>unnecessary inter-frequency measurement with high priority</w:t>
      </w:r>
      <w:r>
        <w:rPr>
          <w:rFonts w:hint="eastAsia"/>
          <w:b w:val="0"/>
          <w:bCs w:val="0"/>
          <w:lang w:val="en-US" w:eastAsia="zh-CN"/>
        </w:rPr>
        <w:t xml:space="preserve"> can be avoided.</w:t>
      </w:r>
      <w:r>
        <w:rPr>
          <w:rFonts w:hint="eastAsia"/>
          <w:b w:val="0"/>
          <w:bCs w:val="0"/>
        </w:rPr>
        <w:t xml:space="preserve"> </w:t>
      </w:r>
      <w:r>
        <w:rPr>
          <w:rFonts w:hint="eastAsia"/>
          <w:b w:val="0"/>
          <w:bCs w:val="0"/>
          <w:lang w:val="en-US" w:eastAsia="zh-CN"/>
        </w:rPr>
        <w:t xml:space="preserve">Only if the channel quality of the camped mobile IAB cell deteriorate to be lower than a given threshold,  UE may trigger intra-frequency measurement and even inter-frequency measurement to reselect  a new mobile IAB cell. </w:t>
      </w:r>
    </w:p>
    <w:p>
      <w:pPr>
        <w:jc w:val="both"/>
        <w:rPr>
          <w:rFonts w:hint="default"/>
          <w:b/>
          <w:bCs/>
          <w:lang w:val="en-US" w:eastAsia="zh-CN"/>
        </w:rPr>
      </w:pPr>
      <w:r>
        <w:rPr>
          <w:rFonts w:hint="eastAsia"/>
          <w:b/>
          <w:bCs/>
          <w:lang w:val="en-US" w:eastAsia="zh-CN"/>
        </w:rPr>
        <w:t xml:space="preserve">Proposal 6: In order to avoid </w:t>
      </w:r>
      <w:r>
        <w:rPr>
          <w:rFonts w:hint="eastAsia"/>
          <w:b/>
          <w:bCs/>
        </w:rPr>
        <w:t>unnecessary inter-frequency measurement with high priority</w:t>
      </w:r>
      <w:r>
        <w:rPr>
          <w:rFonts w:hint="eastAsia"/>
          <w:b/>
          <w:bCs/>
          <w:lang w:val="en-US" w:eastAsia="zh-CN"/>
        </w:rPr>
        <w:t xml:space="preserve">, </w:t>
      </w:r>
      <w:r>
        <w:rPr>
          <w:rFonts w:hint="eastAsia"/>
          <w:b/>
          <w:bCs/>
        </w:rPr>
        <w:t xml:space="preserve">UE </w:t>
      </w:r>
      <w:r>
        <w:rPr>
          <w:rFonts w:hint="eastAsia"/>
          <w:b/>
          <w:bCs/>
          <w:lang w:val="en-US" w:eastAsia="zh-CN"/>
        </w:rPr>
        <w:t xml:space="preserve">may </w:t>
      </w:r>
      <w:r>
        <w:rPr>
          <w:rFonts w:hint="eastAsia"/>
          <w:b/>
          <w:bCs/>
        </w:rPr>
        <w:t>regard the frequency which provide</w:t>
      </w:r>
      <w:r>
        <w:rPr>
          <w:rFonts w:hint="eastAsia"/>
          <w:b/>
          <w:bCs/>
          <w:lang w:val="en-US" w:eastAsia="zh-CN"/>
        </w:rPr>
        <w:t>s</w:t>
      </w:r>
      <w:r>
        <w:rPr>
          <w:rFonts w:hint="eastAsia"/>
          <w:b/>
          <w:bCs/>
        </w:rPr>
        <w:t xml:space="preserve"> mobile IAB cell to be the highest priority</w:t>
      </w:r>
      <w:r>
        <w:rPr>
          <w:rFonts w:hint="eastAsia"/>
          <w:b/>
          <w:bCs/>
          <w:lang w:val="en-US" w:eastAsia="zh-CN"/>
        </w:rPr>
        <w:t xml:space="preserve"> when UE has camped on the mobile IAB cell.</w:t>
      </w:r>
    </w:p>
    <w:p>
      <w:pPr>
        <w:pStyle w:val="3"/>
        <w:bidi w:val="0"/>
        <w:rPr>
          <w:rFonts w:hint="default"/>
          <w:lang w:val="en-US" w:eastAsia="zh-CN"/>
        </w:rPr>
      </w:pPr>
      <w:r>
        <w:rPr>
          <w:rFonts w:hint="eastAsia"/>
          <w:lang w:val="en-US" w:eastAsia="zh-CN"/>
        </w:rPr>
        <w:t>RNA</w:t>
      </w:r>
    </w:p>
    <w:p>
      <w:pPr>
        <w:overflowPunct w:val="0"/>
        <w:autoSpaceDE w:val="0"/>
        <w:autoSpaceDN w:val="0"/>
        <w:adjustRightInd w:val="0"/>
        <w:spacing w:before="156" w:beforeLines="50"/>
        <w:jc w:val="both"/>
        <w:rPr>
          <w:sz w:val="20"/>
          <w:szCs w:val="20"/>
          <w:lang w:val="en-US" w:eastAsia="zh-CN"/>
        </w:rPr>
      </w:pPr>
      <w:r>
        <w:rPr>
          <w:rFonts w:hint="eastAsia"/>
          <w:sz w:val="20"/>
          <w:szCs w:val="20"/>
          <w:lang w:val="en-US" w:eastAsia="zh-CN"/>
        </w:rPr>
        <w:t xml:space="preserve">For NR system, the UE is allowed to enter RRC_INACTIVE state. Before entering the RRC_INACTIVE state, the UE is configured by the last serving gNB with an RNA. The RNA can cover one or multiple cells, and should be </w:t>
      </w:r>
      <w:r>
        <w:rPr>
          <w:sz w:val="20"/>
          <w:szCs w:val="20"/>
        </w:rPr>
        <w:t xml:space="preserve">a subset of </w:t>
      </w:r>
      <w:r>
        <w:rPr>
          <w:rFonts w:hint="eastAsia"/>
          <w:sz w:val="20"/>
          <w:szCs w:val="20"/>
          <w:lang w:val="en-US" w:eastAsia="zh-CN"/>
        </w:rPr>
        <w:t xml:space="preserve">or equal to </w:t>
      </w:r>
      <w:r>
        <w:rPr>
          <w:sz w:val="20"/>
          <w:szCs w:val="20"/>
        </w:rPr>
        <w:t>a CN Tracking Area</w:t>
      </w:r>
      <w:r>
        <w:rPr>
          <w:rFonts w:hint="eastAsia"/>
          <w:sz w:val="20"/>
          <w:szCs w:val="20"/>
          <w:lang w:val="en-US" w:eastAsia="zh-CN"/>
        </w:rPr>
        <w:t>. To be specific, the RNA may be configured via a list of cells (NCGI) or a list of RAN Area Code (RANAC) or TAC for different PLMNs. UE needs to perform RNAU</w:t>
      </w:r>
      <w:r>
        <w:rPr>
          <w:sz w:val="20"/>
          <w:szCs w:val="20"/>
        </w:rPr>
        <w:t xml:space="preserve"> when the UE </w:t>
      </w:r>
      <w:r>
        <w:rPr>
          <w:rFonts w:hint="eastAsia"/>
          <w:sz w:val="20"/>
          <w:szCs w:val="20"/>
          <w:lang w:val="en-US" w:eastAsia="zh-CN"/>
        </w:rPr>
        <w:t>re-</w:t>
      </w:r>
      <w:r>
        <w:rPr>
          <w:sz w:val="20"/>
          <w:szCs w:val="20"/>
        </w:rPr>
        <w:t xml:space="preserve">selects a cell that does not belong to </w:t>
      </w:r>
      <w:r>
        <w:rPr>
          <w:rFonts w:hint="eastAsia"/>
          <w:sz w:val="20"/>
          <w:szCs w:val="20"/>
          <w:lang w:val="en-US" w:eastAsia="zh-CN"/>
        </w:rPr>
        <w:t>its previously</w:t>
      </w:r>
      <w:r>
        <w:rPr>
          <w:sz w:val="20"/>
          <w:szCs w:val="20"/>
        </w:rPr>
        <w:t xml:space="preserve"> configured RNA.</w:t>
      </w:r>
      <w:r>
        <w:rPr>
          <w:rFonts w:hint="eastAsia"/>
          <w:sz w:val="20"/>
          <w:szCs w:val="20"/>
          <w:lang w:val="en-US" w:eastAsia="zh-CN"/>
        </w:rPr>
        <w:t xml:space="preserve"> </w:t>
      </w:r>
    </w:p>
    <w:p>
      <w:pPr>
        <w:numPr>
          <w:ilvl w:val="0"/>
          <w:numId w:val="0"/>
        </w:numPr>
        <w:ind w:leftChars="0"/>
        <w:jc w:val="both"/>
        <w:rPr>
          <w:sz w:val="20"/>
          <w:szCs w:val="20"/>
          <w:lang w:val="en-US" w:eastAsia="zh-CN"/>
        </w:rPr>
      </w:pPr>
      <w:r>
        <w:rPr>
          <w:rFonts w:hint="eastAsia"/>
          <w:sz w:val="20"/>
          <w:szCs w:val="20"/>
          <w:lang w:val="en-US" w:eastAsia="zh-CN"/>
        </w:rPr>
        <w:t xml:space="preserve">With it comes to the mobile IAB scenario, the mobile IAB node moves together with the vehicles, which may be across different RNAs. Suppose the UE is configured with a list of cells for RNA when entering into RRC_INACTIVE state, the UEs served by the mobile IAB-DU may detect that the NCGI change of mobile IAB-DU when the mobile IAB node performs HO. It is very likely that the new NCGI of mobile IAB-DU is not included in the list of cells for UE's RNA and the RRC_INACTIVE UE served by the mobile IAB-DU will perform the RNAU procedure. In order to reduce unnecessary RNAU, it is suggested that the RRC_INACTIVE UE may be notified of the NCGI change of the cells of mobile IAB-node-DU and UE replaces the old NCGI with the new one in its cell list of RAN area.  </w:t>
      </w:r>
    </w:p>
    <w:p>
      <w:pPr>
        <w:jc w:val="both"/>
        <w:rPr>
          <w:rFonts w:hint="eastAsia"/>
          <w:b/>
          <w:bCs/>
          <w:lang w:val="en-US" w:eastAsia="zh-CN"/>
        </w:rPr>
      </w:pPr>
      <w:r>
        <w:rPr>
          <w:rFonts w:hint="eastAsia"/>
          <w:b/>
          <w:bCs/>
          <w:sz w:val="20"/>
          <w:szCs w:val="20"/>
          <w:lang w:val="en-US" w:eastAsia="zh-CN"/>
        </w:rPr>
        <w:t>Proposal 7: For the RNA configuration via a list of NCGIs, in order to reduce unnecessary RNAU, the  RRC_INACTIVE UE may be notified of the NCGI change of the cells of mobile IAB-node-DU and UE then replace the old NCGI with new NCGI of mobile IAB-node-DU</w:t>
      </w:r>
      <w:r>
        <w:rPr>
          <w:b/>
          <w:bCs/>
          <w:sz w:val="20"/>
          <w:szCs w:val="20"/>
          <w:lang w:val="en-US" w:eastAsia="zh-CN"/>
        </w:rPr>
        <w:t>’</w:t>
      </w:r>
      <w:r>
        <w:rPr>
          <w:rFonts w:hint="eastAsia"/>
          <w:b/>
          <w:bCs/>
          <w:sz w:val="20"/>
          <w:szCs w:val="20"/>
          <w:lang w:val="en-US" w:eastAsia="zh-CN"/>
        </w:rPr>
        <w:t>s cell for the cells included in the RNA configuration.</w:t>
      </w:r>
      <w:bookmarkStart w:id="3" w:name="_GoBack"/>
      <w:bookmarkEnd w:id="3"/>
    </w:p>
    <w:bookmarkEnd w:id="0"/>
    <w:p>
      <w:pPr>
        <w:pStyle w:val="2"/>
        <w:jc w:val="both"/>
        <w:rPr>
          <w:rFonts w:eastAsia="宋体"/>
          <w:lang w:eastAsia="zh-CN"/>
        </w:rPr>
      </w:pPr>
      <w:bookmarkStart w:id="1" w:name="OLE_LINK1"/>
      <w:bookmarkStart w:id="2" w:name="OLE_LINK2"/>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lang w:val="en-US" w:eastAsia="zh-CN"/>
        </w:rPr>
      </w:pPr>
      <w:r>
        <w:rPr>
          <w:lang w:val="en-US" w:eastAsia="zh-CN"/>
        </w:rPr>
        <w:t xml:space="preserve">In this contribution, </w:t>
      </w:r>
      <w:r>
        <w:rPr>
          <w:rFonts w:hint="eastAsia"/>
          <w:lang w:val="en-US" w:eastAsia="zh-CN"/>
        </w:rPr>
        <w:t>we focus on the remaining issues for mobile IAB and present our point of view</w:t>
      </w:r>
      <w:r>
        <w:rPr>
          <w:lang w:val="en-US" w:eastAsia="zh-CN"/>
        </w:rPr>
        <w:t>.</w:t>
      </w:r>
      <w:r>
        <w:rPr>
          <w:rFonts w:hint="eastAsia"/>
          <w:lang w:val="en-US" w:eastAsia="zh-CN"/>
        </w:rPr>
        <w:t xml:space="preserve"> The following observations and proposals are given:</w:t>
      </w:r>
    </w:p>
    <w:p>
      <w:pPr>
        <w:spacing w:before="157" w:beforeLines="50"/>
        <w:jc w:val="both"/>
        <w:rPr>
          <w:rFonts w:hint="default"/>
          <w:b/>
          <w:bCs w:val="0"/>
          <w:szCs w:val="20"/>
          <w:vertAlign w:val="baseline"/>
          <w:lang w:val="en-US" w:eastAsia="zh-CN"/>
        </w:rPr>
      </w:pPr>
      <w:r>
        <w:rPr>
          <w:rFonts w:hint="eastAsia"/>
          <w:b/>
          <w:bCs w:val="0"/>
          <w:szCs w:val="20"/>
          <w:vertAlign w:val="baseline"/>
          <w:lang w:val="en-US" w:eastAsia="zh-CN"/>
        </w:rPr>
        <w:t xml:space="preserve">Proposal 1: The </w:t>
      </w:r>
      <w:r>
        <w:rPr>
          <w:b/>
          <w:bCs w:val="0"/>
          <w:szCs w:val="20"/>
        </w:rPr>
        <w:t>"mobile-IAB</w:t>
      </w:r>
      <w:r>
        <w:rPr>
          <w:rFonts w:hint="eastAsia"/>
          <w:b/>
          <w:bCs w:val="0"/>
          <w:szCs w:val="20"/>
          <w:lang w:val="en-US" w:eastAsia="zh-CN"/>
        </w:rPr>
        <w:t xml:space="preserve"> supported</w:t>
      </w:r>
      <w:r>
        <w:rPr>
          <w:b/>
          <w:bCs w:val="0"/>
          <w:szCs w:val="20"/>
        </w:rPr>
        <w:t xml:space="preserve">" </w:t>
      </w:r>
      <w:r>
        <w:rPr>
          <w:rFonts w:hint="eastAsia"/>
          <w:b/>
          <w:bCs w:val="0"/>
          <w:szCs w:val="20"/>
          <w:lang w:val="en-US" w:eastAsia="zh-CN"/>
        </w:rPr>
        <w:t xml:space="preserve">indication broadcast by the </w:t>
      </w:r>
      <w:r>
        <w:rPr>
          <w:b/>
          <w:bCs w:val="0"/>
          <w:szCs w:val="20"/>
        </w:rPr>
        <w:t xml:space="preserve">Rel-18 </w:t>
      </w:r>
      <w:r>
        <w:rPr>
          <w:rFonts w:hint="eastAsia"/>
          <w:b/>
          <w:bCs w:val="0"/>
          <w:szCs w:val="20"/>
          <w:lang w:val="en-US" w:eastAsia="zh-CN"/>
        </w:rPr>
        <w:t>m</w:t>
      </w:r>
      <w:r>
        <w:rPr>
          <w:b/>
          <w:bCs w:val="0"/>
          <w:szCs w:val="20"/>
        </w:rPr>
        <w:t>obile IAB capable parent cell</w:t>
      </w:r>
      <w:r>
        <w:rPr>
          <w:rFonts w:hint="eastAsia"/>
          <w:b/>
          <w:bCs w:val="0"/>
          <w:szCs w:val="20"/>
          <w:lang w:val="en-US" w:eastAsia="zh-CN"/>
        </w:rPr>
        <w:t xml:space="preserve"> can be used for the mobile IAB functionality support indication as well as for the access control purpose.</w:t>
      </w:r>
    </w:p>
    <w:p>
      <w:pPr>
        <w:jc w:val="both"/>
        <w:rPr>
          <w:rFonts w:hint="eastAsia"/>
          <w:b/>
          <w:bCs w:val="0"/>
          <w:szCs w:val="20"/>
          <w:lang w:val="en-US" w:eastAsia="zh-CN"/>
        </w:rPr>
      </w:pPr>
      <w:r>
        <w:rPr>
          <w:rFonts w:hint="eastAsia"/>
          <w:b/>
          <w:bCs w:val="0"/>
          <w:szCs w:val="20"/>
          <w:lang w:val="en-US" w:eastAsia="zh-CN"/>
        </w:rPr>
        <w:t xml:space="preserve">Proposal 2: For the parent cell which support both Rel-16/17 IAB and </w:t>
      </w:r>
      <w:r>
        <w:rPr>
          <w:b/>
          <w:bCs w:val="0"/>
          <w:szCs w:val="20"/>
        </w:rPr>
        <w:t>Rel-18 Mobile IAB</w:t>
      </w:r>
      <w:r>
        <w:rPr>
          <w:rFonts w:hint="eastAsia"/>
          <w:b/>
          <w:bCs w:val="0"/>
          <w:szCs w:val="20"/>
          <w:lang w:val="en-US" w:eastAsia="zh-CN"/>
        </w:rPr>
        <w:t xml:space="preserve">, it controls the presence of </w:t>
      </w:r>
      <w:r>
        <w:rPr>
          <w:rFonts w:hint="default"/>
          <w:b/>
          <w:bCs w:val="0"/>
          <w:lang w:val="en-US" w:eastAsia="zh-CN"/>
        </w:rPr>
        <w:t>“</w:t>
      </w:r>
      <w:r>
        <w:rPr>
          <w:rFonts w:hint="eastAsia"/>
          <w:b/>
          <w:bCs w:val="0"/>
          <w:lang w:val="en-US" w:eastAsia="zh-CN"/>
        </w:rPr>
        <w:t>IAB supported</w:t>
      </w:r>
      <w:r>
        <w:rPr>
          <w:rFonts w:hint="default"/>
          <w:b/>
          <w:bCs w:val="0"/>
          <w:lang w:val="en-US" w:eastAsia="zh-CN"/>
        </w:rPr>
        <w:t>”</w:t>
      </w:r>
      <w:r>
        <w:rPr>
          <w:rFonts w:hint="eastAsia"/>
          <w:b/>
          <w:bCs w:val="0"/>
          <w:lang w:val="en-US" w:eastAsia="zh-CN"/>
        </w:rPr>
        <w:t xml:space="preserve"> and </w:t>
      </w:r>
      <w:r>
        <w:rPr>
          <w:b/>
          <w:bCs w:val="0"/>
          <w:szCs w:val="20"/>
        </w:rPr>
        <w:t>"mobile-IAB</w:t>
      </w:r>
      <w:r>
        <w:rPr>
          <w:rFonts w:hint="eastAsia"/>
          <w:b/>
          <w:bCs w:val="0"/>
          <w:szCs w:val="20"/>
          <w:lang w:val="en-US" w:eastAsia="zh-CN"/>
        </w:rPr>
        <w:t xml:space="preserve"> supported</w:t>
      </w:r>
      <w:r>
        <w:rPr>
          <w:b/>
          <w:bCs w:val="0"/>
          <w:szCs w:val="20"/>
        </w:rPr>
        <w:t>" indication</w:t>
      </w:r>
      <w:r>
        <w:rPr>
          <w:rFonts w:hint="eastAsia"/>
          <w:b/>
          <w:bCs w:val="0"/>
          <w:szCs w:val="20"/>
          <w:lang w:val="en-US" w:eastAsia="zh-CN"/>
        </w:rPr>
        <w:t xml:space="preserve"> independently.</w:t>
      </w:r>
    </w:p>
    <w:p>
      <w:pPr>
        <w:jc w:val="both"/>
        <w:rPr>
          <w:rFonts w:hint="eastAsia" w:ascii="Times New Roman" w:hAnsi="Times New Roman" w:cs="Times New Roman"/>
          <w:b/>
          <w:bCs/>
          <w:sz w:val="20"/>
          <w:szCs w:val="20"/>
          <w:lang w:val="en-US" w:eastAsia="zh-CN"/>
        </w:rPr>
      </w:pPr>
      <w:r>
        <w:rPr>
          <w:rFonts w:hint="eastAsia" w:cs="Times New Roman"/>
          <w:b/>
          <w:bCs/>
          <w:sz w:val="20"/>
          <w:szCs w:val="20"/>
          <w:lang w:val="en-US" w:eastAsia="zh-CN"/>
        </w:rPr>
        <w:t>Proposal 3: W</w:t>
      </w:r>
      <w:r>
        <w:rPr>
          <w:rFonts w:hint="eastAsia" w:ascii="Times New Roman" w:hAnsi="Times New Roman" w:cs="Times New Roman"/>
          <w:b/>
          <w:bCs/>
          <w:sz w:val="20"/>
          <w:szCs w:val="20"/>
          <w:lang w:val="en-US" w:eastAsia="zh-CN"/>
        </w:rPr>
        <w:t>hether the mIAB PCI list can be exclusive</w:t>
      </w:r>
      <w:r>
        <w:rPr>
          <w:rFonts w:hint="eastAsia" w:cs="Times New Roman"/>
          <w:b/>
          <w:bCs/>
          <w:sz w:val="20"/>
          <w:szCs w:val="20"/>
          <w:lang w:val="en-US" w:eastAsia="zh-CN"/>
        </w:rPr>
        <w:t>/</w:t>
      </w:r>
      <w:r>
        <w:rPr>
          <w:rFonts w:hint="eastAsia" w:ascii="Times New Roman" w:hAnsi="Times New Roman" w:cs="Times New Roman"/>
          <w:b/>
          <w:bCs/>
          <w:sz w:val="20"/>
          <w:szCs w:val="20"/>
          <w:lang w:val="en-US" w:eastAsia="zh-CN"/>
        </w:rPr>
        <w:t>complete depends on the network implementation.</w:t>
      </w:r>
    </w:p>
    <w:p>
      <w:pPr>
        <w:jc w:val="both"/>
        <w:rPr>
          <w:rFonts w:hint="default"/>
          <w:b/>
          <w:bCs/>
          <w:lang w:val="en-US" w:eastAsia="zh-CN"/>
        </w:rPr>
      </w:pPr>
      <w:r>
        <w:rPr>
          <w:rFonts w:hint="eastAsia"/>
          <w:b/>
          <w:bCs/>
          <w:lang w:val="en-US" w:eastAsia="zh-CN"/>
        </w:rPr>
        <w:t>Proposal 4: Even if the mIAB list is broadcast, UE still need to receive the SIB1 of the potential mobile IAB cell since UE needs to check the cell status and special reservations for access control.</w:t>
      </w:r>
    </w:p>
    <w:p>
      <w:pPr>
        <w:jc w:val="both"/>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5: Upon receiving the mIAB PCI list</w:t>
      </w:r>
      <w:r>
        <w:rPr>
          <w:rFonts w:hint="eastAsia" w:cs="Times New Roman"/>
          <w:b/>
          <w:bCs/>
          <w:sz w:val="20"/>
          <w:szCs w:val="20"/>
          <w:lang w:val="en-US" w:eastAsia="zh-CN"/>
        </w:rPr>
        <w:t>, how to use it can be up to UE implementation.</w:t>
      </w:r>
    </w:p>
    <w:p>
      <w:pPr>
        <w:jc w:val="both"/>
        <w:rPr>
          <w:rFonts w:hint="eastAsia" w:ascii="Times New Roman" w:hAnsi="Times New Roman" w:cs="Times New Roman"/>
          <w:b/>
          <w:bCs/>
          <w:sz w:val="20"/>
          <w:szCs w:val="20"/>
          <w:lang w:val="en-US" w:eastAsia="zh-CN"/>
        </w:rPr>
      </w:pPr>
      <w:r>
        <w:rPr>
          <w:rFonts w:hint="eastAsia"/>
          <w:b/>
          <w:bCs/>
          <w:lang w:val="en-US" w:eastAsia="zh-CN"/>
        </w:rPr>
        <w:t xml:space="preserve">Proposal 6: In order to avoid </w:t>
      </w:r>
      <w:r>
        <w:rPr>
          <w:rFonts w:hint="eastAsia"/>
          <w:b/>
          <w:bCs/>
        </w:rPr>
        <w:t>unnecessary inter-frequency measurement with high priority</w:t>
      </w:r>
      <w:r>
        <w:rPr>
          <w:rFonts w:hint="eastAsia"/>
          <w:b/>
          <w:bCs/>
          <w:lang w:val="en-US" w:eastAsia="zh-CN"/>
        </w:rPr>
        <w:t xml:space="preserve">, </w:t>
      </w:r>
      <w:r>
        <w:rPr>
          <w:rFonts w:hint="eastAsia"/>
          <w:b/>
          <w:bCs/>
        </w:rPr>
        <w:t xml:space="preserve">UE </w:t>
      </w:r>
      <w:r>
        <w:rPr>
          <w:rFonts w:hint="eastAsia"/>
          <w:b/>
          <w:bCs/>
          <w:lang w:val="en-US" w:eastAsia="zh-CN"/>
        </w:rPr>
        <w:t xml:space="preserve">may </w:t>
      </w:r>
      <w:r>
        <w:rPr>
          <w:rFonts w:hint="eastAsia"/>
          <w:b/>
          <w:bCs/>
        </w:rPr>
        <w:t>regard the frequency which provide</w:t>
      </w:r>
      <w:r>
        <w:rPr>
          <w:rFonts w:hint="eastAsia"/>
          <w:b/>
          <w:bCs/>
          <w:lang w:val="en-US" w:eastAsia="zh-CN"/>
        </w:rPr>
        <w:t>s</w:t>
      </w:r>
      <w:r>
        <w:rPr>
          <w:rFonts w:hint="eastAsia"/>
          <w:b/>
          <w:bCs/>
        </w:rPr>
        <w:t xml:space="preserve"> mobile IAB cell to be the highest priority</w:t>
      </w:r>
      <w:r>
        <w:rPr>
          <w:rFonts w:hint="eastAsia"/>
          <w:b/>
          <w:bCs/>
          <w:lang w:val="en-US" w:eastAsia="zh-CN"/>
        </w:rPr>
        <w:t xml:space="preserve"> when UE has camped on the mobile IAB cell.</w:t>
      </w:r>
    </w:p>
    <w:p>
      <w:pPr>
        <w:jc w:val="both"/>
        <w:rPr>
          <w:b/>
          <w:bCs/>
          <w:lang w:val="en-US" w:eastAsia="zh-CN"/>
        </w:rPr>
      </w:pPr>
      <w:r>
        <w:rPr>
          <w:rFonts w:hint="eastAsia"/>
          <w:b/>
          <w:bCs/>
          <w:sz w:val="20"/>
          <w:szCs w:val="20"/>
          <w:lang w:val="en-US" w:eastAsia="zh-CN"/>
        </w:rPr>
        <w:t>Proposal 7: For the RNA configuration via a list of NCGIs, in order to reduce unnecessary RNAU, the  RRC_INACTIVE UE may be notified of the NCGI change of the cells of mobile IAB-node-DU and UE then replace the old NCGI with new NCGI of mobile IAB-node-DU</w:t>
      </w:r>
      <w:r>
        <w:rPr>
          <w:b/>
          <w:bCs/>
          <w:sz w:val="20"/>
          <w:szCs w:val="20"/>
          <w:lang w:val="en-US" w:eastAsia="zh-CN"/>
        </w:rPr>
        <w:t>’</w:t>
      </w:r>
      <w:r>
        <w:rPr>
          <w:rFonts w:hint="eastAsia"/>
          <w:b/>
          <w:bCs/>
          <w:sz w:val="20"/>
          <w:szCs w:val="20"/>
          <w:lang w:val="en-US" w:eastAsia="zh-CN"/>
        </w:rPr>
        <w:t>s cell for the cells included in the RNA configuration</w:t>
      </w:r>
      <w:r>
        <w:rPr>
          <w:rFonts w:hint="eastAsia"/>
          <w:b/>
          <w:bCs/>
          <w:lang w:val="en-US" w:eastAsia="zh-CN"/>
        </w:rPr>
        <w:t>.</w:t>
      </w:r>
    </w:p>
    <w:p>
      <w:pPr>
        <w:pStyle w:val="2"/>
        <w:rPr>
          <w:rFonts w:eastAsia="宋体"/>
          <w:lang w:eastAsia="zh-CN"/>
        </w:rPr>
      </w:pPr>
      <w:r>
        <w:rPr>
          <w:rFonts w:hint="eastAsia" w:eastAsia="宋体"/>
          <w:lang w:eastAsia="zh-CN"/>
        </w:rPr>
        <w:t>Reference</w:t>
      </w:r>
    </w:p>
    <w:p>
      <w:pPr>
        <w:numPr>
          <w:ilvl w:val="0"/>
          <w:numId w:val="13"/>
        </w:numPr>
        <w:rPr>
          <w:lang w:val="en-US" w:eastAsia="zh-CN"/>
        </w:rPr>
      </w:pPr>
      <w:r>
        <w:rPr>
          <w:rFonts w:hint="eastAsia"/>
          <w:lang w:val="en-US" w:eastAsia="zh-CN"/>
        </w:rPr>
        <w:t>RAN2#1</w:t>
      </w:r>
      <w:r>
        <w:rPr>
          <w:lang w:val="en-US" w:eastAsia="zh-CN"/>
        </w:rPr>
        <w:t>2</w:t>
      </w:r>
      <w:r>
        <w:rPr>
          <w:rFonts w:hint="eastAsia"/>
          <w:lang w:val="en-US" w:eastAsia="zh-CN"/>
        </w:rPr>
        <w:t>3bis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504020202020204"/>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CC3"/>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3D3"/>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6F3D"/>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162"/>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5F02"/>
    <w:rsid w:val="000D5FAE"/>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3C25"/>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776"/>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0A4"/>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3DCE"/>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EB9"/>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800"/>
    <w:rsid w:val="00226AF5"/>
    <w:rsid w:val="002277A5"/>
    <w:rsid w:val="002277C5"/>
    <w:rsid w:val="00227B6C"/>
    <w:rsid w:val="00227CA3"/>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9F4"/>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8D4"/>
    <w:rsid w:val="002B3EFA"/>
    <w:rsid w:val="002B4933"/>
    <w:rsid w:val="002B49AC"/>
    <w:rsid w:val="002B4A9F"/>
    <w:rsid w:val="002B4C2C"/>
    <w:rsid w:val="002B4FA8"/>
    <w:rsid w:val="002B53B9"/>
    <w:rsid w:val="002B54B1"/>
    <w:rsid w:val="002B565A"/>
    <w:rsid w:val="002B5700"/>
    <w:rsid w:val="002B579C"/>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3E68"/>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0C7"/>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347"/>
    <w:rsid w:val="00436715"/>
    <w:rsid w:val="004367D9"/>
    <w:rsid w:val="00436F95"/>
    <w:rsid w:val="00437000"/>
    <w:rsid w:val="00437A99"/>
    <w:rsid w:val="00440408"/>
    <w:rsid w:val="004414A9"/>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9F5"/>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7F0"/>
    <w:rsid w:val="004C2F20"/>
    <w:rsid w:val="004C302A"/>
    <w:rsid w:val="004C3132"/>
    <w:rsid w:val="004C361A"/>
    <w:rsid w:val="004C4F8C"/>
    <w:rsid w:val="004C4FA4"/>
    <w:rsid w:val="004C5480"/>
    <w:rsid w:val="004C5649"/>
    <w:rsid w:val="004C67C6"/>
    <w:rsid w:val="004C6DB3"/>
    <w:rsid w:val="004C6F3E"/>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679"/>
    <w:rsid w:val="00570D10"/>
    <w:rsid w:val="0057112E"/>
    <w:rsid w:val="00571265"/>
    <w:rsid w:val="00571378"/>
    <w:rsid w:val="005713FB"/>
    <w:rsid w:val="00571966"/>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4C6F"/>
    <w:rsid w:val="005E5264"/>
    <w:rsid w:val="005E5416"/>
    <w:rsid w:val="005E5A4E"/>
    <w:rsid w:val="005E5BC1"/>
    <w:rsid w:val="005E61D9"/>
    <w:rsid w:val="005E620A"/>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4FA"/>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3C6"/>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3E0E"/>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3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5C"/>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491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7CB"/>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3A9"/>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1EC8"/>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3E14"/>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EF3"/>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5EB0"/>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2F9A"/>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55"/>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BFD"/>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54E6B"/>
    <w:rsid w:val="0107221F"/>
    <w:rsid w:val="0113356D"/>
    <w:rsid w:val="01261783"/>
    <w:rsid w:val="012C7790"/>
    <w:rsid w:val="013A4C6E"/>
    <w:rsid w:val="013B40A1"/>
    <w:rsid w:val="013B7B86"/>
    <w:rsid w:val="01445AC8"/>
    <w:rsid w:val="014F5AEC"/>
    <w:rsid w:val="01597E34"/>
    <w:rsid w:val="015D46BF"/>
    <w:rsid w:val="016B6E25"/>
    <w:rsid w:val="016B6ED6"/>
    <w:rsid w:val="01791CB2"/>
    <w:rsid w:val="018121F4"/>
    <w:rsid w:val="0187447D"/>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E07FE"/>
    <w:rsid w:val="02B5652D"/>
    <w:rsid w:val="02C3140B"/>
    <w:rsid w:val="02CB0E0D"/>
    <w:rsid w:val="02D8526C"/>
    <w:rsid w:val="02EB38B9"/>
    <w:rsid w:val="02EE0E74"/>
    <w:rsid w:val="02F00BEE"/>
    <w:rsid w:val="02F22456"/>
    <w:rsid w:val="030026D0"/>
    <w:rsid w:val="0300644B"/>
    <w:rsid w:val="0301337F"/>
    <w:rsid w:val="03024BFE"/>
    <w:rsid w:val="03045E57"/>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55AFE"/>
    <w:rsid w:val="03A77CDB"/>
    <w:rsid w:val="03AD7917"/>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D10B5"/>
    <w:rsid w:val="04EE00C4"/>
    <w:rsid w:val="04F82945"/>
    <w:rsid w:val="05040A56"/>
    <w:rsid w:val="0506279A"/>
    <w:rsid w:val="05073FED"/>
    <w:rsid w:val="050C6378"/>
    <w:rsid w:val="050F171D"/>
    <w:rsid w:val="0512498F"/>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6E5B1F"/>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7A9"/>
    <w:rsid w:val="06632969"/>
    <w:rsid w:val="0665774C"/>
    <w:rsid w:val="06667182"/>
    <w:rsid w:val="06911F5C"/>
    <w:rsid w:val="069D7084"/>
    <w:rsid w:val="06A505BC"/>
    <w:rsid w:val="06BE54F4"/>
    <w:rsid w:val="06C97CEE"/>
    <w:rsid w:val="06D250A7"/>
    <w:rsid w:val="06E1106D"/>
    <w:rsid w:val="06E335A9"/>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80749F"/>
    <w:rsid w:val="079048B0"/>
    <w:rsid w:val="079506D6"/>
    <w:rsid w:val="079D224E"/>
    <w:rsid w:val="07A10EF9"/>
    <w:rsid w:val="07A24DAE"/>
    <w:rsid w:val="07A53007"/>
    <w:rsid w:val="07B050BB"/>
    <w:rsid w:val="07B445EC"/>
    <w:rsid w:val="07B917B5"/>
    <w:rsid w:val="07CB1AF5"/>
    <w:rsid w:val="07E14486"/>
    <w:rsid w:val="07E5651E"/>
    <w:rsid w:val="07E85F02"/>
    <w:rsid w:val="07E95786"/>
    <w:rsid w:val="07E962E5"/>
    <w:rsid w:val="07F05A0E"/>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E7DCF"/>
    <w:rsid w:val="095F4A55"/>
    <w:rsid w:val="096B03FF"/>
    <w:rsid w:val="096F4744"/>
    <w:rsid w:val="096F777B"/>
    <w:rsid w:val="098113B0"/>
    <w:rsid w:val="09823672"/>
    <w:rsid w:val="09A343B5"/>
    <w:rsid w:val="09B55CF9"/>
    <w:rsid w:val="09BC2E8E"/>
    <w:rsid w:val="09BD0931"/>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81411"/>
    <w:rsid w:val="0A6F3848"/>
    <w:rsid w:val="0A7A68E3"/>
    <w:rsid w:val="0A8E5BE2"/>
    <w:rsid w:val="0A900244"/>
    <w:rsid w:val="0AB0238C"/>
    <w:rsid w:val="0AB720D0"/>
    <w:rsid w:val="0AC00F46"/>
    <w:rsid w:val="0AD01757"/>
    <w:rsid w:val="0AD35BE6"/>
    <w:rsid w:val="0AD4318C"/>
    <w:rsid w:val="0AE175A1"/>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BB2F53"/>
    <w:rsid w:val="0BC0582C"/>
    <w:rsid w:val="0BC97B87"/>
    <w:rsid w:val="0BCD0386"/>
    <w:rsid w:val="0BD015C0"/>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07796"/>
    <w:rsid w:val="0D4450E8"/>
    <w:rsid w:val="0D446417"/>
    <w:rsid w:val="0D473C1A"/>
    <w:rsid w:val="0D5153C6"/>
    <w:rsid w:val="0D546E25"/>
    <w:rsid w:val="0D561F10"/>
    <w:rsid w:val="0D681B0E"/>
    <w:rsid w:val="0D6876BC"/>
    <w:rsid w:val="0D76077C"/>
    <w:rsid w:val="0D796521"/>
    <w:rsid w:val="0D7E5C19"/>
    <w:rsid w:val="0D8B330B"/>
    <w:rsid w:val="0D8F0F56"/>
    <w:rsid w:val="0D930B9B"/>
    <w:rsid w:val="0D9533A2"/>
    <w:rsid w:val="0D9B02A5"/>
    <w:rsid w:val="0DAB6775"/>
    <w:rsid w:val="0DB827DE"/>
    <w:rsid w:val="0DCD68E1"/>
    <w:rsid w:val="0DD6175F"/>
    <w:rsid w:val="0DFF33E2"/>
    <w:rsid w:val="0E02571A"/>
    <w:rsid w:val="0E04044F"/>
    <w:rsid w:val="0E040C64"/>
    <w:rsid w:val="0E0B4BF2"/>
    <w:rsid w:val="0E0D46A1"/>
    <w:rsid w:val="0E195F3C"/>
    <w:rsid w:val="0E1D020C"/>
    <w:rsid w:val="0E1E06DD"/>
    <w:rsid w:val="0E2B3498"/>
    <w:rsid w:val="0E410195"/>
    <w:rsid w:val="0E4D6F2F"/>
    <w:rsid w:val="0E4E17BA"/>
    <w:rsid w:val="0E537E47"/>
    <w:rsid w:val="0E540A00"/>
    <w:rsid w:val="0E63577F"/>
    <w:rsid w:val="0E6C1770"/>
    <w:rsid w:val="0E746972"/>
    <w:rsid w:val="0E874158"/>
    <w:rsid w:val="0E912655"/>
    <w:rsid w:val="0E936C61"/>
    <w:rsid w:val="0E945725"/>
    <w:rsid w:val="0E9B667F"/>
    <w:rsid w:val="0EB648ED"/>
    <w:rsid w:val="0EB76970"/>
    <w:rsid w:val="0EBD130E"/>
    <w:rsid w:val="0EC10662"/>
    <w:rsid w:val="0ED23F89"/>
    <w:rsid w:val="0EFC7DA7"/>
    <w:rsid w:val="0EFE523A"/>
    <w:rsid w:val="0F142574"/>
    <w:rsid w:val="0F245617"/>
    <w:rsid w:val="0F46488F"/>
    <w:rsid w:val="0F4843D0"/>
    <w:rsid w:val="0F4C36C8"/>
    <w:rsid w:val="0F5828A8"/>
    <w:rsid w:val="0F5F0E06"/>
    <w:rsid w:val="0F640159"/>
    <w:rsid w:val="0F6C61FA"/>
    <w:rsid w:val="0F6C7B75"/>
    <w:rsid w:val="0F7052E6"/>
    <w:rsid w:val="0F772B49"/>
    <w:rsid w:val="0F7D7A1F"/>
    <w:rsid w:val="0F802E0A"/>
    <w:rsid w:val="0F805F18"/>
    <w:rsid w:val="0F8A366F"/>
    <w:rsid w:val="0F8C1716"/>
    <w:rsid w:val="0F940E13"/>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7520C"/>
    <w:rsid w:val="103F1735"/>
    <w:rsid w:val="10442CB0"/>
    <w:rsid w:val="104500A8"/>
    <w:rsid w:val="104F012F"/>
    <w:rsid w:val="1051046A"/>
    <w:rsid w:val="106606A4"/>
    <w:rsid w:val="106C17A6"/>
    <w:rsid w:val="107A0C72"/>
    <w:rsid w:val="10810AA8"/>
    <w:rsid w:val="10880446"/>
    <w:rsid w:val="109C2255"/>
    <w:rsid w:val="10AE1171"/>
    <w:rsid w:val="10C97528"/>
    <w:rsid w:val="10CC36E9"/>
    <w:rsid w:val="10D1157C"/>
    <w:rsid w:val="10E55F62"/>
    <w:rsid w:val="10EE6FEE"/>
    <w:rsid w:val="11003578"/>
    <w:rsid w:val="110043DA"/>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AB2922"/>
    <w:rsid w:val="11B311F2"/>
    <w:rsid w:val="11B95C93"/>
    <w:rsid w:val="11BA73FD"/>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3080271"/>
    <w:rsid w:val="1311514F"/>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EC4AA5"/>
    <w:rsid w:val="13F36B6C"/>
    <w:rsid w:val="13F40DF1"/>
    <w:rsid w:val="13F66306"/>
    <w:rsid w:val="14094AFA"/>
    <w:rsid w:val="141F3605"/>
    <w:rsid w:val="14250E1C"/>
    <w:rsid w:val="142C08DC"/>
    <w:rsid w:val="142C636B"/>
    <w:rsid w:val="142E1692"/>
    <w:rsid w:val="143203FE"/>
    <w:rsid w:val="143278A3"/>
    <w:rsid w:val="143F24FA"/>
    <w:rsid w:val="1446125F"/>
    <w:rsid w:val="1448114C"/>
    <w:rsid w:val="1448311D"/>
    <w:rsid w:val="144A597A"/>
    <w:rsid w:val="144A5CCA"/>
    <w:rsid w:val="14623392"/>
    <w:rsid w:val="146D6BA0"/>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C1BA5"/>
    <w:rsid w:val="151123EF"/>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A31B6A"/>
    <w:rsid w:val="16B430CC"/>
    <w:rsid w:val="16B6401E"/>
    <w:rsid w:val="16BC7120"/>
    <w:rsid w:val="16BD5D0A"/>
    <w:rsid w:val="16C15887"/>
    <w:rsid w:val="16CE62E2"/>
    <w:rsid w:val="16D33A58"/>
    <w:rsid w:val="16D50398"/>
    <w:rsid w:val="16D50F4C"/>
    <w:rsid w:val="16D77FA1"/>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A27D84"/>
    <w:rsid w:val="17B35CC8"/>
    <w:rsid w:val="17B37AE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804433"/>
    <w:rsid w:val="18AB5FAF"/>
    <w:rsid w:val="18BC39C0"/>
    <w:rsid w:val="18C11039"/>
    <w:rsid w:val="18C63B82"/>
    <w:rsid w:val="18CB399B"/>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26362"/>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756C5"/>
    <w:rsid w:val="1A0301A3"/>
    <w:rsid w:val="1A06256E"/>
    <w:rsid w:val="1A145E68"/>
    <w:rsid w:val="1A197C48"/>
    <w:rsid w:val="1A1B7AF6"/>
    <w:rsid w:val="1A1E4DFD"/>
    <w:rsid w:val="1A247656"/>
    <w:rsid w:val="1A2556A1"/>
    <w:rsid w:val="1A3A1484"/>
    <w:rsid w:val="1A3F28BF"/>
    <w:rsid w:val="1A411F58"/>
    <w:rsid w:val="1A4C08AD"/>
    <w:rsid w:val="1A507DCD"/>
    <w:rsid w:val="1A551A07"/>
    <w:rsid w:val="1A5A4D51"/>
    <w:rsid w:val="1A63746B"/>
    <w:rsid w:val="1A672164"/>
    <w:rsid w:val="1A6A66D5"/>
    <w:rsid w:val="1A701A43"/>
    <w:rsid w:val="1A743FBF"/>
    <w:rsid w:val="1A7452C7"/>
    <w:rsid w:val="1A7A27D2"/>
    <w:rsid w:val="1A8578FC"/>
    <w:rsid w:val="1A891B32"/>
    <w:rsid w:val="1A894F17"/>
    <w:rsid w:val="1A8D7BE0"/>
    <w:rsid w:val="1A986421"/>
    <w:rsid w:val="1A9A7539"/>
    <w:rsid w:val="1AA03E54"/>
    <w:rsid w:val="1AA11FE9"/>
    <w:rsid w:val="1ABF33B5"/>
    <w:rsid w:val="1AC43521"/>
    <w:rsid w:val="1AC50442"/>
    <w:rsid w:val="1AC60C9E"/>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05DE3"/>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23C45"/>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B0ABA"/>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77933"/>
    <w:rsid w:val="1E696878"/>
    <w:rsid w:val="1E76494F"/>
    <w:rsid w:val="1E906FE9"/>
    <w:rsid w:val="1E94288A"/>
    <w:rsid w:val="1EA40027"/>
    <w:rsid w:val="1EB50B50"/>
    <w:rsid w:val="1EBA31B8"/>
    <w:rsid w:val="1EBD6AFE"/>
    <w:rsid w:val="1EC24C3E"/>
    <w:rsid w:val="1ECD43D6"/>
    <w:rsid w:val="1EDE2EB1"/>
    <w:rsid w:val="1EE26F09"/>
    <w:rsid w:val="1EF3055A"/>
    <w:rsid w:val="1EF4477A"/>
    <w:rsid w:val="1EFA616B"/>
    <w:rsid w:val="1F0038E4"/>
    <w:rsid w:val="1F0734FD"/>
    <w:rsid w:val="1F0B419D"/>
    <w:rsid w:val="1F0C3179"/>
    <w:rsid w:val="1F167841"/>
    <w:rsid w:val="1F1A0725"/>
    <w:rsid w:val="1F1E2769"/>
    <w:rsid w:val="1F200D82"/>
    <w:rsid w:val="1F2471EE"/>
    <w:rsid w:val="1F2C3F36"/>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56B45"/>
    <w:rsid w:val="203D5909"/>
    <w:rsid w:val="203E43DC"/>
    <w:rsid w:val="2050652B"/>
    <w:rsid w:val="205266EA"/>
    <w:rsid w:val="20574593"/>
    <w:rsid w:val="205B10F0"/>
    <w:rsid w:val="205B45BD"/>
    <w:rsid w:val="205C1C74"/>
    <w:rsid w:val="20625F66"/>
    <w:rsid w:val="206403EA"/>
    <w:rsid w:val="206406E2"/>
    <w:rsid w:val="206B7976"/>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A1615"/>
    <w:rsid w:val="217C1B87"/>
    <w:rsid w:val="21846ED1"/>
    <w:rsid w:val="21964D08"/>
    <w:rsid w:val="21A61743"/>
    <w:rsid w:val="21AE0533"/>
    <w:rsid w:val="21B5378E"/>
    <w:rsid w:val="21CE6894"/>
    <w:rsid w:val="21D01464"/>
    <w:rsid w:val="21D66EB2"/>
    <w:rsid w:val="21D677FD"/>
    <w:rsid w:val="21E359B2"/>
    <w:rsid w:val="22011200"/>
    <w:rsid w:val="22067AB1"/>
    <w:rsid w:val="220C6CB6"/>
    <w:rsid w:val="220D51F5"/>
    <w:rsid w:val="220D76C7"/>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4E0D84"/>
    <w:rsid w:val="24530D86"/>
    <w:rsid w:val="24564596"/>
    <w:rsid w:val="24575E86"/>
    <w:rsid w:val="245A4261"/>
    <w:rsid w:val="245A7F98"/>
    <w:rsid w:val="24664904"/>
    <w:rsid w:val="246A0433"/>
    <w:rsid w:val="246E39C1"/>
    <w:rsid w:val="246F01AB"/>
    <w:rsid w:val="247617FE"/>
    <w:rsid w:val="24795B8F"/>
    <w:rsid w:val="247A5489"/>
    <w:rsid w:val="247F6E82"/>
    <w:rsid w:val="24837726"/>
    <w:rsid w:val="24845BF9"/>
    <w:rsid w:val="2489673F"/>
    <w:rsid w:val="24932814"/>
    <w:rsid w:val="24975026"/>
    <w:rsid w:val="24987A67"/>
    <w:rsid w:val="249F38BC"/>
    <w:rsid w:val="24A36F3B"/>
    <w:rsid w:val="24A74FC4"/>
    <w:rsid w:val="24B61287"/>
    <w:rsid w:val="24C50181"/>
    <w:rsid w:val="24C6543E"/>
    <w:rsid w:val="24CA4005"/>
    <w:rsid w:val="24D9427A"/>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B622D6"/>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5F59FB"/>
    <w:rsid w:val="266555A1"/>
    <w:rsid w:val="2669016B"/>
    <w:rsid w:val="266979EC"/>
    <w:rsid w:val="267366B5"/>
    <w:rsid w:val="267A50E3"/>
    <w:rsid w:val="26940FAA"/>
    <w:rsid w:val="26A61A31"/>
    <w:rsid w:val="26A979B6"/>
    <w:rsid w:val="26AE5365"/>
    <w:rsid w:val="26B01E3E"/>
    <w:rsid w:val="26B506F6"/>
    <w:rsid w:val="26CB4EC9"/>
    <w:rsid w:val="26CC4EED"/>
    <w:rsid w:val="26D76F7B"/>
    <w:rsid w:val="26DD5ADB"/>
    <w:rsid w:val="26DE6381"/>
    <w:rsid w:val="26E25FB5"/>
    <w:rsid w:val="26E43629"/>
    <w:rsid w:val="26E80BEB"/>
    <w:rsid w:val="26ED06D9"/>
    <w:rsid w:val="26ED270B"/>
    <w:rsid w:val="26F07E40"/>
    <w:rsid w:val="26F207AC"/>
    <w:rsid w:val="27025570"/>
    <w:rsid w:val="270636C6"/>
    <w:rsid w:val="270B24B1"/>
    <w:rsid w:val="271640FF"/>
    <w:rsid w:val="27203B3F"/>
    <w:rsid w:val="27261664"/>
    <w:rsid w:val="272A5204"/>
    <w:rsid w:val="273534DB"/>
    <w:rsid w:val="27355906"/>
    <w:rsid w:val="275609E0"/>
    <w:rsid w:val="27603599"/>
    <w:rsid w:val="276C3B61"/>
    <w:rsid w:val="278C3909"/>
    <w:rsid w:val="27940BAD"/>
    <w:rsid w:val="27982067"/>
    <w:rsid w:val="27991B1F"/>
    <w:rsid w:val="279F0993"/>
    <w:rsid w:val="27A95161"/>
    <w:rsid w:val="27AA1A34"/>
    <w:rsid w:val="27BB6575"/>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7FF1C05"/>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12A06"/>
    <w:rsid w:val="28E2149E"/>
    <w:rsid w:val="28E33D7F"/>
    <w:rsid w:val="28E61D23"/>
    <w:rsid w:val="28E966B2"/>
    <w:rsid w:val="28EB4901"/>
    <w:rsid w:val="28FB654C"/>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618BB"/>
    <w:rsid w:val="29FD37E2"/>
    <w:rsid w:val="2A040F28"/>
    <w:rsid w:val="2A053652"/>
    <w:rsid w:val="2A067415"/>
    <w:rsid w:val="2A0800E5"/>
    <w:rsid w:val="2A0A2044"/>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86195"/>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126EF"/>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8D6E76"/>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16DB2"/>
    <w:rsid w:val="2C324612"/>
    <w:rsid w:val="2C3A29A8"/>
    <w:rsid w:val="2C4053CD"/>
    <w:rsid w:val="2C474372"/>
    <w:rsid w:val="2C491884"/>
    <w:rsid w:val="2C4D6410"/>
    <w:rsid w:val="2C4E5281"/>
    <w:rsid w:val="2C4E7CEA"/>
    <w:rsid w:val="2C506EE9"/>
    <w:rsid w:val="2C5246A6"/>
    <w:rsid w:val="2C5E27E1"/>
    <w:rsid w:val="2C5E3727"/>
    <w:rsid w:val="2C677685"/>
    <w:rsid w:val="2C771849"/>
    <w:rsid w:val="2C7F3AC3"/>
    <w:rsid w:val="2C806B61"/>
    <w:rsid w:val="2C981A73"/>
    <w:rsid w:val="2C9F3440"/>
    <w:rsid w:val="2CA1068F"/>
    <w:rsid w:val="2CD23532"/>
    <w:rsid w:val="2CE074B2"/>
    <w:rsid w:val="2CEC6471"/>
    <w:rsid w:val="2CEF1368"/>
    <w:rsid w:val="2D0C15E0"/>
    <w:rsid w:val="2D1C0521"/>
    <w:rsid w:val="2D1E7CD5"/>
    <w:rsid w:val="2D2140D4"/>
    <w:rsid w:val="2D2519AA"/>
    <w:rsid w:val="2D2C4AF5"/>
    <w:rsid w:val="2D330903"/>
    <w:rsid w:val="2D3523C5"/>
    <w:rsid w:val="2D3D77C2"/>
    <w:rsid w:val="2D4957EB"/>
    <w:rsid w:val="2D4F527C"/>
    <w:rsid w:val="2D5233D5"/>
    <w:rsid w:val="2D545C88"/>
    <w:rsid w:val="2D592AAF"/>
    <w:rsid w:val="2D64342C"/>
    <w:rsid w:val="2D644C4A"/>
    <w:rsid w:val="2D810A54"/>
    <w:rsid w:val="2D880A3C"/>
    <w:rsid w:val="2D914D1C"/>
    <w:rsid w:val="2DA17515"/>
    <w:rsid w:val="2DA64F75"/>
    <w:rsid w:val="2DAE5715"/>
    <w:rsid w:val="2DCE3801"/>
    <w:rsid w:val="2DD61BAF"/>
    <w:rsid w:val="2DE865BD"/>
    <w:rsid w:val="2DEB07E9"/>
    <w:rsid w:val="2DEE050F"/>
    <w:rsid w:val="2E051880"/>
    <w:rsid w:val="2E066B08"/>
    <w:rsid w:val="2E0E1190"/>
    <w:rsid w:val="2E1070D4"/>
    <w:rsid w:val="2E1347C8"/>
    <w:rsid w:val="2E164A4F"/>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0A6A"/>
    <w:rsid w:val="2F323B43"/>
    <w:rsid w:val="2F7215C9"/>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13724"/>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063F92"/>
    <w:rsid w:val="311A5DEA"/>
    <w:rsid w:val="311C73B4"/>
    <w:rsid w:val="311F55F5"/>
    <w:rsid w:val="312B2EBD"/>
    <w:rsid w:val="313200C2"/>
    <w:rsid w:val="313860E8"/>
    <w:rsid w:val="313B38EE"/>
    <w:rsid w:val="314E0F4E"/>
    <w:rsid w:val="31581D78"/>
    <w:rsid w:val="31585E6C"/>
    <w:rsid w:val="31620B84"/>
    <w:rsid w:val="316371DA"/>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DD2943"/>
    <w:rsid w:val="31DE1C09"/>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A7BE0"/>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CD198F"/>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503097"/>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1DEF"/>
    <w:rsid w:val="354A320B"/>
    <w:rsid w:val="35526139"/>
    <w:rsid w:val="355D34DF"/>
    <w:rsid w:val="356102A9"/>
    <w:rsid w:val="35615EAD"/>
    <w:rsid w:val="3564453E"/>
    <w:rsid w:val="35645FED"/>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6D54D3"/>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02210"/>
    <w:rsid w:val="37B62A54"/>
    <w:rsid w:val="37B936C4"/>
    <w:rsid w:val="37BA6B56"/>
    <w:rsid w:val="37C33968"/>
    <w:rsid w:val="37C9011D"/>
    <w:rsid w:val="37D2221A"/>
    <w:rsid w:val="37DF18DD"/>
    <w:rsid w:val="37EB3320"/>
    <w:rsid w:val="37F452A2"/>
    <w:rsid w:val="37F712EB"/>
    <w:rsid w:val="37FA6EB5"/>
    <w:rsid w:val="37FC639E"/>
    <w:rsid w:val="38021F61"/>
    <w:rsid w:val="38213155"/>
    <w:rsid w:val="382D6266"/>
    <w:rsid w:val="38384B17"/>
    <w:rsid w:val="383B32B5"/>
    <w:rsid w:val="383D51B0"/>
    <w:rsid w:val="38436373"/>
    <w:rsid w:val="38450810"/>
    <w:rsid w:val="38453910"/>
    <w:rsid w:val="384D1481"/>
    <w:rsid w:val="384E5140"/>
    <w:rsid w:val="385A61A1"/>
    <w:rsid w:val="38646C5A"/>
    <w:rsid w:val="386B41E2"/>
    <w:rsid w:val="3871591E"/>
    <w:rsid w:val="388103A2"/>
    <w:rsid w:val="388162ED"/>
    <w:rsid w:val="38856EBC"/>
    <w:rsid w:val="3888376D"/>
    <w:rsid w:val="388E6955"/>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A78C3"/>
    <w:rsid w:val="397C1DA9"/>
    <w:rsid w:val="397C47E7"/>
    <w:rsid w:val="39825F39"/>
    <w:rsid w:val="39826044"/>
    <w:rsid w:val="398C15D5"/>
    <w:rsid w:val="399A42B3"/>
    <w:rsid w:val="399D3642"/>
    <w:rsid w:val="399F6BF2"/>
    <w:rsid w:val="39AC7FB9"/>
    <w:rsid w:val="39C0616E"/>
    <w:rsid w:val="39C13BDE"/>
    <w:rsid w:val="39CD394E"/>
    <w:rsid w:val="39D7602C"/>
    <w:rsid w:val="39E46CE2"/>
    <w:rsid w:val="39E6596C"/>
    <w:rsid w:val="39EF0C7E"/>
    <w:rsid w:val="39F55613"/>
    <w:rsid w:val="39FA4F95"/>
    <w:rsid w:val="3A0C1ED6"/>
    <w:rsid w:val="3A1A3CE0"/>
    <w:rsid w:val="3A320C69"/>
    <w:rsid w:val="3A381454"/>
    <w:rsid w:val="3A38627D"/>
    <w:rsid w:val="3A3A7804"/>
    <w:rsid w:val="3A3F482E"/>
    <w:rsid w:val="3A456D61"/>
    <w:rsid w:val="3A4F6FF7"/>
    <w:rsid w:val="3A517B3B"/>
    <w:rsid w:val="3A5D40AF"/>
    <w:rsid w:val="3A6245ED"/>
    <w:rsid w:val="3A7C1DAA"/>
    <w:rsid w:val="3A7F7477"/>
    <w:rsid w:val="3A8B1BB3"/>
    <w:rsid w:val="3A954317"/>
    <w:rsid w:val="3A965C0D"/>
    <w:rsid w:val="3A997A92"/>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0B4739"/>
    <w:rsid w:val="3B135593"/>
    <w:rsid w:val="3B1D5FF2"/>
    <w:rsid w:val="3B247E7A"/>
    <w:rsid w:val="3B3301EA"/>
    <w:rsid w:val="3B371FAF"/>
    <w:rsid w:val="3B3F68A0"/>
    <w:rsid w:val="3B406223"/>
    <w:rsid w:val="3B411C83"/>
    <w:rsid w:val="3B437575"/>
    <w:rsid w:val="3B445A14"/>
    <w:rsid w:val="3B510099"/>
    <w:rsid w:val="3B543CC7"/>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676CD"/>
    <w:rsid w:val="3C0940AF"/>
    <w:rsid w:val="3C1E40F1"/>
    <w:rsid w:val="3C210DA1"/>
    <w:rsid w:val="3C387931"/>
    <w:rsid w:val="3C4C738B"/>
    <w:rsid w:val="3C556FEA"/>
    <w:rsid w:val="3C566074"/>
    <w:rsid w:val="3C5F64FC"/>
    <w:rsid w:val="3C615094"/>
    <w:rsid w:val="3C625B3B"/>
    <w:rsid w:val="3C654588"/>
    <w:rsid w:val="3C711142"/>
    <w:rsid w:val="3C7625E5"/>
    <w:rsid w:val="3C793336"/>
    <w:rsid w:val="3C7D62C7"/>
    <w:rsid w:val="3C807247"/>
    <w:rsid w:val="3C814BCF"/>
    <w:rsid w:val="3C834C4E"/>
    <w:rsid w:val="3C9B08CE"/>
    <w:rsid w:val="3CA012D3"/>
    <w:rsid w:val="3CAF3656"/>
    <w:rsid w:val="3CB9591F"/>
    <w:rsid w:val="3CCA684F"/>
    <w:rsid w:val="3CD26FAD"/>
    <w:rsid w:val="3CD87CE5"/>
    <w:rsid w:val="3CDB68D4"/>
    <w:rsid w:val="3CEF06FE"/>
    <w:rsid w:val="3CF810D4"/>
    <w:rsid w:val="3CF878B5"/>
    <w:rsid w:val="3CFA31FE"/>
    <w:rsid w:val="3D1665CB"/>
    <w:rsid w:val="3D1D0816"/>
    <w:rsid w:val="3D1F05EA"/>
    <w:rsid w:val="3D263D34"/>
    <w:rsid w:val="3D2820F7"/>
    <w:rsid w:val="3D292B9B"/>
    <w:rsid w:val="3D2A2198"/>
    <w:rsid w:val="3D362589"/>
    <w:rsid w:val="3D3B7E48"/>
    <w:rsid w:val="3D476B4F"/>
    <w:rsid w:val="3D4A4187"/>
    <w:rsid w:val="3D5331A4"/>
    <w:rsid w:val="3D6515EC"/>
    <w:rsid w:val="3D757BFC"/>
    <w:rsid w:val="3D78217F"/>
    <w:rsid w:val="3D7B110C"/>
    <w:rsid w:val="3D7B2B7D"/>
    <w:rsid w:val="3D7F5027"/>
    <w:rsid w:val="3D822306"/>
    <w:rsid w:val="3D846601"/>
    <w:rsid w:val="3D8D4C5B"/>
    <w:rsid w:val="3D990950"/>
    <w:rsid w:val="3D9B563C"/>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8E4694"/>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6F46F4"/>
    <w:rsid w:val="3F73683D"/>
    <w:rsid w:val="3F8F2470"/>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2844"/>
    <w:rsid w:val="403F66AE"/>
    <w:rsid w:val="40455F19"/>
    <w:rsid w:val="40616B63"/>
    <w:rsid w:val="40626A97"/>
    <w:rsid w:val="40692304"/>
    <w:rsid w:val="40795CC3"/>
    <w:rsid w:val="409D37D8"/>
    <w:rsid w:val="40A3094D"/>
    <w:rsid w:val="40A416F9"/>
    <w:rsid w:val="40B43BE1"/>
    <w:rsid w:val="40B871C9"/>
    <w:rsid w:val="40C61BF7"/>
    <w:rsid w:val="40CE4174"/>
    <w:rsid w:val="40CF1488"/>
    <w:rsid w:val="40D20597"/>
    <w:rsid w:val="40D24EE6"/>
    <w:rsid w:val="40D637A8"/>
    <w:rsid w:val="40DC577F"/>
    <w:rsid w:val="40E55521"/>
    <w:rsid w:val="40E639A3"/>
    <w:rsid w:val="40EA7CAB"/>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6D553E"/>
    <w:rsid w:val="427D3909"/>
    <w:rsid w:val="42833005"/>
    <w:rsid w:val="428938C8"/>
    <w:rsid w:val="428C0F63"/>
    <w:rsid w:val="42955251"/>
    <w:rsid w:val="42961E1B"/>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5F7783"/>
    <w:rsid w:val="43610390"/>
    <w:rsid w:val="43655414"/>
    <w:rsid w:val="436C45D3"/>
    <w:rsid w:val="437C2A06"/>
    <w:rsid w:val="437E65E4"/>
    <w:rsid w:val="43847800"/>
    <w:rsid w:val="439A4500"/>
    <w:rsid w:val="43A01D15"/>
    <w:rsid w:val="43AD0E3B"/>
    <w:rsid w:val="43B47659"/>
    <w:rsid w:val="43B83F57"/>
    <w:rsid w:val="43C00EC8"/>
    <w:rsid w:val="43C36A5D"/>
    <w:rsid w:val="43C72131"/>
    <w:rsid w:val="43C77416"/>
    <w:rsid w:val="43C86844"/>
    <w:rsid w:val="43CB3585"/>
    <w:rsid w:val="43D17BF0"/>
    <w:rsid w:val="43D32144"/>
    <w:rsid w:val="43D43275"/>
    <w:rsid w:val="43D853C7"/>
    <w:rsid w:val="43D92405"/>
    <w:rsid w:val="43DF5B85"/>
    <w:rsid w:val="43E55CE7"/>
    <w:rsid w:val="43EB7EAE"/>
    <w:rsid w:val="43F17B3E"/>
    <w:rsid w:val="43F52B50"/>
    <w:rsid w:val="440241BD"/>
    <w:rsid w:val="44114BC2"/>
    <w:rsid w:val="4438124B"/>
    <w:rsid w:val="444136C0"/>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7643A"/>
    <w:rsid w:val="44980F16"/>
    <w:rsid w:val="44A941C7"/>
    <w:rsid w:val="44AA6EDB"/>
    <w:rsid w:val="44B75D58"/>
    <w:rsid w:val="44BA3AE9"/>
    <w:rsid w:val="44BB5DB6"/>
    <w:rsid w:val="44C0623F"/>
    <w:rsid w:val="44C941DA"/>
    <w:rsid w:val="44CF4A8C"/>
    <w:rsid w:val="44D63BE3"/>
    <w:rsid w:val="44D95DD7"/>
    <w:rsid w:val="44DA0635"/>
    <w:rsid w:val="44DA2AF6"/>
    <w:rsid w:val="44DE6125"/>
    <w:rsid w:val="44E55506"/>
    <w:rsid w:val="44ED0BB2"/>
    <w:rsid w:val="44ED40BA"/>
    <w:rsid w:val="44F162A7"/>
    <w:rsid w:val="45013292"/>
    <w:rsid w:val="450672C8"/>
    <w:rsid w:val="450A34B2"/>
    <w:rsid w:val="450B6097"/>
    <w:rsid w:val="450D54C5"/>
    <w:rsid w:val="45157186"/>
    <w:rsid w:val="451F6997"/>
    <w:rsid w:val="451F7229"/>
    <w:rsid w:val="45231F35"/>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D16DC6"/>
    <w:rsid w:val="45E27416"/>
    <w:rsid w:val="45E33B30"/>
    <w:rsid w:val="45E55915"/>
    <w:rsid w:val="45EC565F"/>
    <w:rsid w:val="45F3495A"/>
    <w:rsid w:val="45FB007C"/>
    <w:rsid w:val="460B0348"/>
    <w:rsid w:val="46125C4E"/>
    <w:rsid w:val="46137091"/>
    <w:rsid w:val="4616701D"/>
    <w:rsid w:val="46186D0F"/>
    <w:rsid w:val="462F623C"/>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E3155"/>
    <w:rsid w:val="46DF5EEA"/>
    <w:rsid w:val="46E05056"/>
    <w:rsid w:val="46E37DAA"/>
    <w:rsid w:val="46E417EE"/>
    <w:rsid w:val="46E805C1"/>
    <w:rsid w:val="46E96B79"/>
    <w:rsid w:val="46EA0145"/>
    <w:rsid w:val="46F7784E"/>
    <w:rsid w:val="46FE26FD"/>
    <w:rsid w:val="47022B62"/>
    <w:rsid w:val="470275A3"/>
    <w:rsid w:val="47051284"/>
    <w:rsid w:val="471657E9"/>
    <w:rsid w:val="471F1214"/>
    <w:rsid w:val="472C4A36"/>
    <w:rsid w:val="472C799C"/>
    <w:rsid w:val="47397427"/>
    <w:rsid w:val="47410E2B"/>
    <w:rsid w:val="4743147C"/>
    <w:rsid w:val="47461CED"/>
    <w:rsid w:val="474F0CC2"/>
    <w:rsid w:val="4750010D"/>
    <w:rsid w:val="47521896"/>
    <w:rsid w:val="4753289C"/>
    <w:rsid w:val="475E7A1B"/>
    <w:rsid w:val="47663784"/>
    <w:rsid w:val="476A62A8"/>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D65EF"/>
    <w:rsid w:val="47E224DA"/>
    <w:rsid w:val="47E63EB0"/>
    <w:rsid w:val="47FB0A7D"/>
    <w:rsid w:val="47FB271A"/>
    <w:rsid w:val="47FD33E9"/>
    <w:rsid w:val="48082361"/>
    <w:rsid w:val="48103631"/>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31468"/>
    <w:rsid w:val="49041D35"/>
    <w:rsid w:val="49042EB0"/>
    <w:rsid w:val="490C48C8"/>
    <w:rsid w:val="49182F5B"/>
    <w:rsid w:val="492D1768"/>
    <w:rsid w:val="49382013"/>
    <w:rsid w:val="4948094D"/>
    <w:rsid w:val="494B7C8C"/>
    <w:rsid w:val="494D1926"/>
    <w:rsid w:val="49534A38"/>
    <w:rsid w:val="49577F5B"/>
    <w:rsid w:val="49590A49"/>
    <w:rsid w:val="495D420F"/>
    <w:rsid w:val="496F3829"/>
    <w:rsid w:val="497271BB"/>
    <w:rsid w:val="497C1D1C"/>
    <w:rsid w:val="49802100"/>
    <w:rsid w:val="49831F08"/>
    <w:rsid w:val="4994097A"/>
    <w:rsid w:val="49993BA8"/>
    <w:rsid w:val="49A177C4"/>
    <w:rsid w:val="49CF34DB"/>
    <w:rsid w:val="49EC5752"/>
    <w:rsid w:val="49F80AFA"/>
    <w:rsid w:val="49FA1131"/>
    <w:rsid w:val="4A117D4D"/>
    <w:rsid w:val="4A1A0CF9"/>
    <w:rsid w:val="4A1C0557"/>
    <w:rsid w:val="4A2B230E"/>
    <w:rsid w:val="4A43365A"/>
    <w:rsid w:val="4A466DFD"/>
    <w:rsid w:val="4A576003"/>
    <w:rsid w:val="4A583EFA"/>
    <w:rsid w:val="4A5A7C15"/>
    <w:rsid w:val="4A5B688E"/>
    <w:rsid w:val="4A6041B4"/>
    <w:rsid w:val="4A623E70"/>
    <w:rsid w:val="4A66406B"/>
    <w:rsid w:val="4A78542D"/>
    <w:rsid w:val="4A8A0E3B"/>
    <w:rsid w:val="4AA228B1"/>
    <w:rsid w:val="4AAB0B4E"/>
    <w:rsid w:val="4AAE6CB9"/>
    <w:rsid w:val="4AB93932"/>
    <w:rsid w:val="4ABC65B3"/>
    <w:rsid w:val="4ABD14F2"/>
    <w:rsid w:val="4AC420FF"/>
    <w:rsid w:val="4ACC799C"/>
    <w:rsid w:val="4ACF43DD"/>
    <w:rsid w:val="4AD53503"/>
    <w:rsid w:val="4ADA17D2"/>
    <w:rsid w:val="4ADA5876"/>
    <w:rsid w:val="4ADD31A5"/>
    <w:rsid w:val="4AEF6877"/>
    <w:rsid w:val="4AFE5FCD"/>
    <w:rsid w:val="4B012EDA"/>
    <w:rsid w:val="4B047519"/>
    <w:rsid w:val="4B1053C2"/>
    <w:rsid w:val="4B1103A6"/>
    <w:rsid w:val="4B170E51"/>
    <w:rsid w:val="4B406FEC"/>
    <w:rsid w:val="4B44027A"/>
    <w:rsid w:val="4B535B0F"/>
    <w:rsid w:val="4B5D208D"/>
    <w:rsid w:val="4B622E6E"/>
    <w:rsid w:val="4B682317"/>
    <w:rsid w:val="4B745F0D"/>
    <w:rsid w:val="4B752CCB"/>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D16ED"/>
    <w:rsid w:val="4C6F4A1A"/>
    <w:rsid w:val="4C784838"/>
    <w:rsid w:val="4C8037AE"/>
    <w:rsid w:val="4C832E02"/>
    <w:rsid w:val="4C84568C"/>
    <w:rsid w:val="4C850135"/>
    <w:rsid w:val="4C854A3A"/>
    <w:rsid w:val="4C911064"/>
    <w:rsid w:val="4C953B5D"/>
    <w:rsid w:val="4CAD29E9"/>
    <w:rsid w:val="4CAD394E"/>
    <w:rsid w:val="4CB05377"/>
    <w:rsid w:val="4CB76C18"/>
    <w:rsid w:val="4CB82F69"/>
    <w:rsid w:val="4CCA38C9"/>
    <w:rsid w:val="4CD37FAC"/>
    <w:rsid w:val="4CDE1A0F"/>
    <w:rsid w:val="4CDE566C"/>
    <w:rsid w:val="4CE03B8B"/>
    <w:rsid w:val="4CE567E9"/>
    <w:rsid w:val="4CF826A3"/>
    <w:rsid w:val="4CF9556E"/>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7866A7"/>
    <w:rsid w:val="4D7F1845"/>
    <w:rsid w:val="4D8A67DA"/>
    <w:rsid w:val="4D8B7947"/>
    <w:rsid w:val="4D943AE7"/>
    <w:rsid w:val="4D9A7380"/>
    <w:rsid w:val="4D9C3A4E"/>
    <w:rsid w:val="4DA4710E"/>
    <w:rsid w:val="4DB6032F"/>
    <w:rsid w:val="4DB770C7"/>
    <w:rsid w:val="4DB85906"/>
    <w:rsid w:val="4DBD5E56"/>
    <w:rsid w:val="4DC3090F"/>
    <w:rsid w:val="4DCA7CC0"/>
    <w:rsid w:val="4DDA0944"/>
    <w:rsid w:val="4DDA4277"/>
    <w:rsid w:val="4DDB5855"/>
    <w:rsid w:val="4DF26512"/>
    <w:rsid w:val="4DFD5A6F"/>
    <w:rsid w:val="4E083D60"/>
    <w:rsid w:val="4E0950FB"/>
    <w:rsid w:val="4E0A5BBD"/>
    <w:rsid w:val="4E23125E"/>
    <w:rsid w:val="4E2E772A"/>
    <w:rsid w:val="4E38395C"/>
    <w:rsid w:val="4E434E98"/>
    <w:rsid w:val="4E4E075D"/>
    <w:rsid w:val="4E573192"/>
    <w:rsid w:val="4E5C0173"/>
    <w:rsid w:val="4E673E7B"/>
    <w:rsid w:val="4E676383"/>
    <w:rsid w:val="4E694667"/>
    <w:rsid w:val="4E6A1943"/>
    <w:rsid w:val="4E80340E"/>
    <w:rsid w:val="4E80585F"/>
    <w:rsid w:val="4E835393"/>
    <w:rsid w:val="4E8404BF"/>
    <w:rsid w:val="4E9D327D"/>
    <w:rsid w:val="4EA320D1"/>
    <w:rsid w:val="4EA63946"/>
    <w:rsid w:val="4EA65EF4"/>
    <w:rsid w:val="4EAE5255"/>
    <w:rsid w:val="4EAF5B07"/>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8266A"/>
    <w:rsid w:val="4F3463DE"/>
    <w:rsid w:val="4F48151E"/>
    <w:rsid w:val="4F515766"/>
    <w:rsid w:val="4F524A77"/>
    <w:rsid w:val="4F5B6DFD"/>
    <w:rsid w:val="4F6C2E02"/>
    <w:rsid w:val="4F7914C1"/>
    <w:rsid w:val="4F7C0228"/>
    <w:rsid w:val="4F80340A"/>
    <w:rsid w:val="4F816878"/>
    <w:rsid w:val="4F8234EB"/>
    <w:rsid w:val="4F901B40"/>
    <w:rsid w:val="4F9627C7"/>
    <w:rsid w:val="4FA450AC"/>
    <w:rsid w:val="4FA87F14"/>
    <w:rsid w:val="4FB50626"/>
    <w:rsid w:val="4FBF33B3"/>
    <w:rsid w:val="4FC37A1B"/>
    <w:rsid w:val="4FC802FF"/>
    <w:rsid w:val="4FCE4C9E"/>
    <w:rsid w:val="4FDE790A"/>
    <w:rsid w:val="4FDF75CA"/>
    <w:rsid w:val="4FE02AE7"/>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0ED03FF"/>
    <w:rsid w:val="5106299D"/>
    <w:rsid w:val="51075B17"/>
    <w:rsid w:val="5111310C"/>
    <w:rsid w:val="51143632"/>
    <w:rsid w:val="511545C1"/>
    <w:rsid w:val="511B61E3"/>
    <w:rsid w:val="511F667B"/>
    <w:rsid w:val="512310E9"/>
    <w:rsid w:val="512D47FF"/>
    <w:rsid w:val="513C5240"/>
    <w:rsid w:val="514149D4"/>
    <w:rsid w:val="514E11E7"/>
    <w:rsid w:val="51531D4F"/>
    <w:rsid w:val="515C0C00"/>
    <w:rsid w:val="516F1636"/>
    <w:rsid w:val="51732223"/>
    <w:rsid w:val="517367F4"/>
    <w:rsid w:val="51737331"/>
    <w:rsid w:val="51776538"/>
    <w:rsid w:val="517F3D75"/>
    <w:rsid w:val="518749EC"/>
    <w:rsid w:val="51973CEB"/>
    <w:rsid w:val="51986034"/>
    <w:rsid w:val="519A644E"/>
    <w:rsid w:val="51A23103"/>
    <w:rsid w:val="51B425EC"/>
    <w:rsid w:val="51B756B8"/>
    <w:rsid w:val="51B948A5"/>
    <w:rsid w:val="51BC3A00"/>
    <w:rsid w:val="51C12CF0"/>
    <w:rsid w:val="51C60563"/>
    <w:rsid w:val="51D63FC6"/>
    <w:rsid w:val="51DE19D8"/>
    <w:rsid w:val="51E13ADB"/>
    <w:rsid w:val="51ED7FCF"/>
    <w:rsid w:val="51F03019"/>
    <w:rsid w:val="52004D55"/>
    <w:rsid w:val="52151506"/>
    <w:rsid w:val="5219757C"/>
    <w:rsid w:val="521C6BF3"/>
    <w:rsid w:val="5227045B"/>
    <w:rsid w:val="52273CCB"/>
    <w:rsid w:val="52387250"/>
    <w:rsid w:val="523B5862"/>
    <w:rsid w:val="5259648F"/>
    <w:rsid w:val="525B1DC1"/>
    <w:rsid w:val="525C538D"/>
    <w:rsid w:val="525C6928"/>
    <w:rsid w:val="52672BEC"/>
    <w:rsid w:val="52810C92"/>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50A98"/>
    <w:rsid w:val="53C74983"/>
    <w:rsid w:val="53D31177"/>
    <w:rsid w:val="53D4470B"/>
    <w:rsid w:val="53DC6D63"/>
    <w:rsid w:val="53EF0C58"/>
    <w:rsid w:val="53EF5526"/>
    <w:rsid w:val="53F442E3"/>
    <w:rsid w:val="540A698F"/>
    <w:rsid w:val="540E7262"/>
    <w:rsid w:val="54110A2C"/>
    <w:rsid w:val="541240F2"/>
    <w:rsid w:val="541C1E7B"/>
    <w:rsid w:val="543B3618"/>
    <w:rsid w:val="544A027A"/>
    <w:rsid w:val="54506C3F"/>
    <w:rsid w:val="5461247C"/>
    <w:rsid w:val="54676039"/>
    <w:rsid w:val="548258F9"/>
    <w:rsid w:val="548D602A"/>
    <w:rsid w:val="54935BBB"/>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258A2"/>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68750E"/>
    <w:rsid w:val="55737B32"/>
    <w:rsid w:val="55744BF2"/>
    <w:rsid w:val="557F757A"/>
    <w:rsid w:val="55837950"/>
    <w:rsid w:val="558576DE"/>
    <w:rsid w:val="5589224B"/>
    <w:rsid w:val="55936FAF"/>
    <w:rsid w:val="5594058C"/>
    <w:rsid w:val="55996C79"/>
    <w:rsid w:val="55B13E3B"/>
    <w:rsid w:val="55B52431"/>
    <w:rsid w:val="55C02117"/>
    <w:rsid w:val="55C26594"/>
    <w:rsid w:val="55D01C78"/>
    <w:rsid w:val="55DB21E0"/>
    <w:rsid w:val="55DD55F2"/>
    <w:rsid w:val="55E120F9"/>
    <w:rsid w:val="55E7307C"/>
    <w:rsid w:val="55ED3CED"/>
    <w:rsid w:val="55ED6CF8"/>
    <w:rsid w:val="55F73DB0"/>
    <w:rsid w:val="55FB3BF8"/>
    <w:rsid w:val="56027A6A"/>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565CD"/>
    <w:rsid w:val="564134FF"/>
    <w:rsid w:val="564239D9"/>
    <w:rsid w:val="56465132"/>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B4D25"/>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7F43D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E55C1C"/>
    <w:rsid w:val="58F8027E"/>
    <w:rsid w:val="58FC102D"/>
    <w:rsid w:val="590025FF"/>
    <w:rsid w:val="5905168A"/>
    <w:rsid w:val="5911503F"/>
    <w:rsid w:val="592767A4"/>
    <w:rsid w:val="59307B53"/>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112F1"/>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604318"/>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D775B6"/>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9E7B77"/>
    <w:rsid w:val="5BA14862"/>
    <w:rsid w:val="5BAF1296"/>
    <w:rsid w:val="5BBE7A7E"/>
    <w:rsid w:val="5BC54189"/>
    <w:rsid w:val="5BC873A5"/>
    <w:rsid w:val="5BCC0968"/>
    <w:rsid w:val="5BD0285B"/>
    <w:rsid w:val="5BD93541"/>
    <w:rsid w:val="5BDC5BD7"/>
    <w:rsid w:val="5BE76901"/>
    <w:rsid w:val="5BEA490A"/>
    <w:rsid w:val="5BEB41F1"/>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CD7923"/>
    <w:rsid w:val="5CD67F07"/>
    <w:rsid w:val="5CDB06AC"/>
    <w:rsid w:val="5CDF59F4"/>
    <w:rsid w:val="5CE2303B"/>
    <w:rsid w:val="5CE73673"/>
    <w:rsid w:val="5CEE79FF"/>
    <w:rsid w:val="5CF064AB"/>
    <w:rsid w:val="5CF133D1"/>
    <w:rsid w:val="5CF2118B"/>
    <w:rsid w:val="5CF33CCF"/>
    <w:rsid w:val="5CF529D1"/>
    <w:rsid w:val="5CF72E70"/>
    <w:rsid w:val="5D010A36"/>
    <w:rsid w:val="5D086DE0"/>
    <w:rsid w:val="5D0B17F9"/>
    <w:rsid w:val="5D0E19DC"/>
    <w:rsid w:val="5D0F06B5"/>
    <w:rsid w:val="5D130187"/>
    <w:rsid w:val="5D215E16"/>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66A7D"/>
    <w:rsid w:val="5DBB1833"/>
    <w:rsid w:val="5DBD4FB2"/>
    <w:rsid w:val="5DC10AA6"/>
    <w:rsid w:val="5DCB38D8"/>
    <w:rsid w:val="5DCC0302"/>
    <w:rsid w:val="5DCC1273"/>
    <w:rsid w:val="5DD720A6"/>
    <w:rsid w:val="5DDC3084"/>
    <w:rsid w:val="5DDD06E5"/>
    <w:rsid w:val="5DE30993"/>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6B6664"/>
    <w:rsid w:val="5E743FAC"/>
    <w:rsid w:val="5E7E33CC"/>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0F65F2"/>
    <w:rsid w:val="5F1A6363"/>
    <w:rsid w:val="5F1D49EB"/>
    <w:rsid w:val="5F1F0600"/>
    <w:rsid w:val="5F25246D"/>
    <w:rsid w:val="5F2705A3"/>
    <w:rsid w:val="5F2C092C"/>
    <w:rsid w:val="5F2E3297"/>
    <w:rsid w:val="5F332996"/>
    <w:rsid w:val="5F334459"/>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B928CA"/>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2EBB"/>
    <w:rsid w:val="60D04397"/>
    <w:rsid w:val="60D376E1"/>
    <w:rsid w:val="60DE3406"/>
    <w:rsid w:val="60E101F4"/>
    <w:rsid w:val="60EA4ECD"/>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A69A2"/>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5386F"/>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40747"/>
    <w:rsid w:val="63894E97"/>
    <w:rsid w:val="6392209B"/>
    <w:rsid w:val="63950A25"/>
    <w:rsid w:val="63A369C0"/>
    <w:rsid w:val="63A60220"/>
    <w:rsid w:val="63AF2AA7"/>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A36C5"/>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52E22"/>
    <w:rsid w:val="64ED25B6"/>
    <w:rsid w:val="64ED74A4"/>
    <w:rsid w:val="64EE6C4C"/>
    <w:rsid w:val="650769F0"/>
    <w:rsid w:val="650C6126"/>
    <w:rsid w:val="65104323"/>
    <w:rsid w:val="65153670"/>
    <w:rsid w:val="651F0386"/>
    <w:rsid w:val="65212AE8"/>
    <w:rsid w:val="65224ABA"/>
    <w:rsid w:val="652D119E"/>
    <w:rsid w:val="65384C9D"/>
    <w:rsid w:val="653B0C2E"/>
    <w:rsid w:val="654D47C0"/>
    <w:rsid w:val="65502950"/>
    <w:rsid w:val="6551495B"/>
    <w:rsid w:val="655709E9"/>
    <w:rsid w:val="655B75A2"/>
    <w:rsid w:val="655E6D2E"/>
    <w:rsid w:val="655F405B"/>
    <w:rsid w:val="65681312"/>
    <w:rsid w:val="656958A2"/>
    <w:rsid w:val="65745614"/>
    <w:rsid w:val="65781F59"/>
    <w:rsid w:val="657A2FDC"/>
    <w:rsid w:val="657C41E0"/>
    <w:rsid w:val="658553F2"/>
    <w:rsid w:val="658E2A5C"/>
    <w:rsid w:val="6591298B"/>
    <w:rsid w:val="65916461"/>
    <w:rsid w:val="659D1D2C"/>
    <w:rsid w:val="659D2B39"/>
    <w:rsid w:val="659D6D72"/>
    <w:rsid w:val="65A70EF6"/>
    <w:rsid w:val="65AB1D23"/>
    <w:rsid w:val="65AF68E8"/>
    <w:rsid w:val="65BC4A1D"/>
    <w:rsid w:val="65D04DB0"/>
    <w:rsid w:val="65D31CBC"/>
    <w:rsid w:val="65DC0DC4"/>
    <w:rsid w:val="65DC667F"/>
    <w:rsid w:val="65E13AA0"/>
    <w:rsid w:val="65EF3499"/>
    <w:rsid w:val="65F21931"/>
    <w:rsid w:val="65F8457B"/>
    <w:rsid w:val="660630D9"/>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0155C"/>
    <w:rsid w:val="6726021E"/>
    <w:rsid w:val="672915D1"/>
    <w:rsid w:val="672C4366"/>
    <w:rsid w:val="6736595B"/>
    <w:rsid w:val="673F439C"/>
    <w:rsid w:val="673F6043"/>
    <w:rsid w:val="67473121"/>
    <w:rsid w:val="67491781"/>
    <w:rsid w:val="674B4D84"/>
    <w:rsid w:val="674C5C33"/>
    <w:rsid w:val="67595E9D"/>
    <w:rsid w:val="67646A33"/>
    <w:rsid w:val="676E762F"/>
    <w:rsid w:val="677E499B"/>
    <w:rsid w:val="67890D24"/>
    <w:rsid w:val="678C0A79"/>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94E80"/>
    <w:rsid w:val="693E2B71"/>
    <w:rsid w:val="69463A98"/>
    <w:rsid w:val="694A6B59"/>
    <w:rsid w:val="694F0814"/>
    <w:rsid w:val="695D1561"/>
    <w:rsid w:val="696E41D8"/>
    <w:rsid w:val="696F198E"/>
    <w:rsid w:val="69743F4F"/>
    <w:rsid w:val="697A64DF"/>
    <w:rsid w:val="697C53AC"/>
    <w:rsid w:val="69910008"/>
    <w:rsid w:val="6998738B"/>
    <w:rsid w:val="69A845E1"/>
    <w:rsid w:val="69B57F8E"/>
    <w:rsid w:val="69B71426"/>
    <w:rsid w:val="69B762B5"/>
    <w:rsid w:val="69BD3A29"/>
    <w:rsid w:val="69C543D9"/>
    <w:rsid w:val="69CA35DB"/>
    <w:rsid w:val="69DC4E1A"/>
    <w:rsid w:val="69DD1ABF"/>
    <w:rsid w:val="69E35E34"/>
    <w:rsid w:val="69E4663E"/>
    <w:rsid w:val="69E8099D"/>
    <w:rsid w:val="69E81016"/>
    <w:rsid w:val="69EA7AD1"/>
    <w:rsid w:val="69F034E6"/>
    <w:rsid w:val="69FA2B45"/>
    <w:rsid w:val="69FB3515"/>
    <w:rsid w:val="6A013DAB"/>
    <w:rsid w:val="6A0424C8"/>
    <w:rsid w:val="6A0C70A8"/>
    <w:rsid w:val="6A1030F4"/>
    <w:rsid w:val="6A131DE5"/>
    <w:rsid w:val="6A160F6A"/>
    <w:rsid w:val="6A277D9B"/>
    <w:rsid w:val="6A2E0DE5"/>
    <w:rsid w:val="6A326B3C"/>
    <w:rsid w:val="6A3276D2"/>
    <w:rsid w:val="6A3535E3"/>
    <w:rsid w:val="6A381E44"/>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B2377"/>
    <w:rsid w:val="6ABF5D7E"/>
    <w:rsid w:val="6AC01C71"/>
    <w:rsid w:val="6AC338B5"/>
    <w:rsid w:val="6AC505B4"/>
    <w:rsid w:val="6ACB27E0"/>
    <w:rsid w:val="6AEB27DC"/>
    <w:rsid w:val="6AF036C8"/>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159C4"/>
    <w:rsid w:val="6B7501B9"/>
    <w:rsid w:val="6B7E026B"/>
    <w:rsid w:val="6B7E5938"/>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8515C"/>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9A069D"/>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D0471B7"/>
    <w:rsid w:val="6D0A6701"/>
    <w:rsid w:val="6D0D5442"/>
    <w:rsid w:val="6D156E90"/>
    <w:rsid w:val="6D18789A"/>
    <w:rsid w:val="6D1D5966"/>
    <w:rsid w:val="6D2476BD"/>
    <w:rsid w:val="6D2B77DD"/>
    <w:rsid w:val="6D416577"/>
    <w:rsid w:val="6D4421F3"/>
    <w:rsid w:val="6D493C9E"/>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83696"/>
    <w:rsid w:val="6E1B7D05"/>
    <w:rsid w:val="6E1F47C1"/>
    <w:rsid w:val="6E200FDC"/>
    <w:rsid w:val="6E356B06"/>
    <w:rsid w:val="6E375C25"/>
    <w:rsid w:val="6E38673F"/>
    <w:rsid w:val="6E3D78C3"/>
    <w:rsid w:val="6E3F7DDD"/>
    <w:rsid w:val="6E4A7B9A"/>
    <w:rsid w:val="6E606B0D"/>
    <w:rsid w:val="6E760A9C"/>
    <w:rsid w:val="6E787BC7"/>
    <w:rsid w:val="6E7C337E"/>
    <w:rsid w:val="6E85329E"/>
    <w:rsid w:val="6E8E37A3"/>
    <w:rsid w:val="6E9323BA"/>
    <w:rsid w:val="6E9D1E53"/>
    <w:rsid w:val="6EA20087"/>
    <w:rsid w:val="6EB776F8"/>
    <w:rsid w:val="6EB85F03"/>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6646C"/>
    <w:rsid w:val="6FCB5E24"/>
    <w:rsid w:val="6FE201A5"/>
    <w:rsid w:val="6FE677C4"/>
    <w:rsid w:val="6FE71701"/>
    <w:rsid w:val="6FE75A19"/>
    <w:rsid w:val="6FF81B44"/>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EA60B0"/>
    <w:rsid w:val="70F22B34"/>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2DC8"/>
    <w:rsid w:val="7182595A"/>
    <w:rsid w:val="7192581E"/>
    <w:rsid w:val="719453E4"/>
    <w:rsid w:val="719D66C8"/>
    <w:rsid w:val="71AB51EE"/>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8125E"/>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207C5"/>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ED02C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1E7BD4"/>
    <w:rsid w:val="762E25A8"/>
    <w:rsid w:val="763A574B"/>
    <w:rsid w:val="7645107B"/>
    <w:rsid w:val="7658118F"/>
    <w:rsid w:val="765834E9"/>
    <w:rsid w:val="766948B0"/>
    <w:rsid w:val="766C44F4"/>
    <w:rsid w:val="766D53BF"/>
    <w:rsid w:val="766E40AB"/>
    <w:rsid w:val="767107D4"/>
    <w:rsid w:val="767E67CD"/>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6FE7A96"/>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91E89"/>
    <w:rsid w:val="779338FF"/>
    <w:rsid w:val="779D3992"/>
    <w:rsid w:val="77A16874"/>
    <w:rsid w:val="77A67B1B"/>
    <w:rsid w:val="77B135B8"/>
    <w:rsid w:val="77B51B62"/>
    <w:rsid w:val="77C22CB8"/>
    <w:rsid w:val="77C31373"/>
    <w:rsid w:val="77C93714"/>
    <w:rsid w:val="77CB403E"/>
    <w:rsid w:val="77D2224F"/>
    <w:rsid w:val="77DB7463"/>
    <w:rsid w:val="77EE2F50"/>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30ECB"/>
    <w:rsid w:val="78C8021A"/>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8297F"/>
    <w:rsid w:val="79793994"/>
    <w:rsid w:val="797B4475"/>
    <w:rsid w:val="79825A8B"/>
    <w:rsid w:val="798C5D91"/>
    <w:rsid w:val="79B7133F"/>
    <w:rsid w:val="79B963A4"/>
    <w:rsid w:val="79BA2F94"/>
    <w:rsid w:val="79BC264E"/>
    <w:rsid w:val="79C76293"/>
    <w:rsid w:val="79E57E94"/>
    <w:rsid w:val="79E6205E"/>
    <w:rsid w:val="79E67EB2"/>
    <w:rsid w:val="79E72FBE"/>
    <w:rsid w:val="79E7444C"/>
    <w:rsid w:val="79EE7B9C"/>
    <w:rsid w:val="79F350DF"/>
    <w:rsid w:val="7A061B69"/>
    <w:rsid w:val="7A0C2A78"/>
    <w:rsid w:val="7A0D0808"/>
    <w:rsid w:val="7A12745C"/>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316AE"/>
    <w:rsid w:val="7A767354"/>
    <w:rsid w:val="7A7A523B"/>
    <w:rsid w:val="7A8242B4"/>
    <w:rsid w:val="7A845059"/>
    <w:rsid w:val="7A8C4073"/>
    <w:rsid w:val="7A9D6337"/>
    <w:rsid w:val="7AA00320"/>
    <w:rsid w:val="7AA33F9C"/>
    <w:rsid w:val="7AA34E89"/>
    <w:rsid w:val="7AA444FF"/>
    <w:rsid w:val="7AA924EB"/>
    <w:rsid w:val="7AAE73F4"/>
    <w:rsid w:val="7AB1224E"/>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868A6"/>
    <w:rsid w:val="7B1F2D91"/>
    <w:rsid w:val="7B2727AF"/>
    <w:rsid w:val="7B313BEA"/>
    <w:rsid w:val="7B340070"/>
    <w:rsid w:val="7B3771C6"/>
    <w:rsid w:val="7B446093"/>
    <w:rsid w:val="7B5114E6"/>
    <w:rsid w:val="7B6A1CE7"/>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B192C"/>
    <w:rsid w:val="7C2F62FC"/>
    <w:rsid w:val="7C3A6A6B"/>
    <w:rsid w:val="7C451D10"/>
    <w:rsid w:val="7C485D6C"/>
    <w:rsid w:val="7C4B3831"/>
    <w:rsid w:val="7C504CDB"/>
    <w:rsid w:val="7C5846F0"/>
    <w:rsid w:val="7C6B4DF6"/>
    <w:rsid w:val="7C6D370B"/>
    <w:rsid w:val="7C6E0DB4"/>
    <w:rsid w:val="7C745B15"/>
    <w:rsid w:val="7C7F1521"/>
    <w:rsid w:val="7C7F3842"/>
    <w:rsid w:val="7C956A9F"/>
    <w:rsid w:val="7C9952E7"/>
    <w:rsid w:val="7C9C0351"/>
    <w:rsid w:val="7C9F2FB0"/>
    <w:rsid w:val="7CA02A08"/>
    <w:rsid w:val="7CAF279A"/>
    <w:rsid w:val="7CB62F86"/>
    <w:rsid w:val="7CDC2354"/>
    <w:rsid w:val="7CE246BE"/>
    <w:rsid w:val="7CE84DF9"/>
    <w:rsid w:val="7CF27393"/>
    <w:rsid w:val="7CF56037"/>
    <w:rsid w:val="7CFC12D6"/>
    <w:rsid w:val="7CFF3642"/>
    <w:rsid w:val="7D03372B"/>
    <w:rsid w:val="7D055FEF"/>
    <w:rsid w:val="7D0B2DB7"/>
    <w:rsid w:val="7D0E3BE8"/>
    <w:rsid w:val="7D143EA3"/>
    <w:rsid w:val="7D177444"/>
    <w:rsid w:val="7D1E2AB8"/>
    <w:rsid w:val="7D225ED9"/>
    <w:rsid w:val="7D3C199D"/>
    <w:rsid w:val="7D3D0619"/>
    <w:rsid w:val="7D4853BA"/>
    <w:rsid w:val="7D493B8F"/>
    <w:rsid w:val="7D5407DB"/>
    <w:rsid w:val="7D5D0A96"/>
    <w:rsid w:val="7D684F15"/>
    <w:rsid w:val="7D6A7948"/>
    <w:rsid w:val="7D7C621E"/>
    <w:rsid w:val="7D7D2B7E"/>
    <w:rsid w:val="7D902263"/>
    <w:rsid w:val="7D971697"/>
    <w:rsid w:val="7DA04CA2"/>
    <w:rsid w:val="7DA26A66"/>
    <w:rsid w:val="7DA66D82"/>
    <w:rsid w:val="7DB64F6F"/>
    <w:rsid w:val="7DCD7AF7"/>
    <w:rsid w:val="7DDB4B77"/>
    <w:rsid w:val="7DE844D5"/>
    <w:rsid w:val="7DF30062"/>
    <w:rsid w:val="7DF37C1A"/>
    <w:rsid w:val="7DF801A0"/>
    <w:rsid w:val="7DF87DEB"/>
    <w:rsid w:val="7E0A2072"/>
    <w:rsid w:val="7E133C62"/>
    <w:rsid w:val="7E332130"/>
    <w:rsid w:val="7E3C1BB9"/>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134"/>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99"/>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23"/>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pPr>
    <w:rPr>
      <w:rFonts w:eastAsia="MS Mincho"/>
      <w:b/>
      <w:szCs w:val="24"/>
      <w:lang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tabs>
        <w:tab w:val="left" w:pos="1080"/>
      </w:tabs>
      <w:spacing w:line="480" w:lineRule="auto"/>
    </w:pPr>
    <w:rPr>
      <w:sz w:val="24"/>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23"/>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23"/>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rPr>
      <w:rFonts w:eastAsia="宋体"/>
      <w:lang w:val="en-GB" w:eastAsia="en-US" w:bidi="ar-SA"/>
    </w:rPr>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66">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1938</Words>
  <Characters>11051</Characters>
  <Lines>92</Lines>
  <Paragraphs>25</Paragraphs>
  <TotalTime>0</TotalTime>
  <ScaleCrop>false</ScaleCrop>
  <LinksUpToDate>false</LinksUpToDate>
  <CharactersWithSpaces>12964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2023-11-03T09:32:37Z</dcterms:modified>
  <dc:title>3GPP TSG-RAN WG2</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